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8F" w:rsidRDefault="00A6188F" w:rsidP="00A6188F">
      <w:pPr>
        <w:tabs>
          <w:tab w:val="left" w:pos="1843"/>
        </w:tabs>
        <w:jc w:val="center"/>
        <w:rPr>
          <w:rFonts w:ascii="Arial" w:hAnsi="Arial" w:cs="Arial"/>
          <w:b/>
          <w:color w:val="0070C0"/>
        </w:rPr>
      </w:pPr>
      <w:r>
        <w:rPr>
          <w:rFonts w:ascii="Arial" w:hAnsi="Arial" w:cs="Arial"/>
          <w:b/>
          <w:color w:val="0070C0"/>
        </w:rPr>
        <w:t xml:space="preserve">Défis et enjeux RH à relever avec le digital, grandes tendances à l’horizon 2020/2024 du marché des </w:t>
      </w:r>
      <w:proofErr w:type="spellStart"/>
      <w:r>
        <w:rPr>
          <w:rFonts w:ascii="Arial" w:hAnsi="Arial" w:cs="Arial"/>
          <w:b/>
          <w:color w:val="0070C0"/>
        </w:rPr>
        <w:t>Serious</w:t>
      </w:r>
      <w:proofErr w:type="spellEnd"/>
      <w:r>
        <w:rPr>
          <w:rFonts w:ascii="Arial" w:hAnsi="Arial" w:cs="Arial"/>
          <w:b/>
          <w:color w:val="0070C0"/>
        </w:rPr>
        <w:t xml:space="preserve"> Games et du </w:t>
      </w:r>
      <w:proofErr w:type="spellStart"/>
      <w:r>
        <w:rPr>
          <w:rFonts w:ascii="Arial" w:hAnsi="Arial" w:cs="Arial"/>
          <w:b/>
          <w:color w:val="0070C0"/>
        </w:rPr>
        <w:t>eLearning</w:t>
      </w:r>
      <w:proofErr w:type="spellEnd"/>
      <w:r>
        <w:rPr>
          <w:rFonts w:ascii="Arial" w:hAnsi="Arial" w:cs="Arial"/>
          <w:b/>
          <w:color w:val="0070C0"/>
        </w:rPr>
        <w:t xml:space="preserve"> </w:t>
      </w:r>
    </w:p>
    <w:p w:rsidR="00A6188F" w:rsidRPr="00BD1F35" w:rsidRDefault="00A6188F" w:rsidP="00A6188F">
      <w:pPr>
        <w:jc w:val="center"/>
        <w:rPr>
          <w:rFonts w:ascii="Arial" w:hAnsi="Arial" w:cs="Arial"/>
          <w:b/>
          <w:color w:val="0070C0"/>
        </w:rPr>
      </w:pPr>
    </w:p>
    <w:p w:rsidR="00A6188F" w:rsidRDefault="00A6188F" w:rsidP="00A6188F">
      <w:pPr>
        <w:jc w:val="center"/>
      </w:pPr>
      <w:r>
        <w:rPr>
          <w:noProof/>
        </w:rPr>
        <w:drawing>
          <wp:inline distT="0" distB="0" distL="0" distR="0" wp14:anchorId="06EFCDDE" wp14:editId="38B96463">
            <wp:extent cx="2732996" cy="1857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8687" cy="1881631"/>
                    </a:xfrm>
                    <a:prstGeom prst="rect">
                      <a:avLst/>
                    </a:prstGeom>
                  </pic:spPr>
                </pic:pic>
              </a:graphicData>
            </a:graphic>
          </wp:inline>
        </w:drawing>
      </w:r>
      <w:r>
        <w:rPr>
          <w:noProof/>
        </w:rPr>
        <w:drawing>
          <wp:inline distT="0" distB="0" distL="0" distR="0" wp14:anchorId="3B4D0048" wp14:editId="1410AD97">
            <wp:extent cx="1116452" cy="818370"/>
            <wp:effectExtent l="0" t="0" r="762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7834" cy="834043"/>
                    </a:xfrm>
                    <a:prstGeom prst="rect">
                      <a:avLst/>
                    </a:prstGeom>
                  </pic:spPr>
                </pic:pic>
              </a:graphicData>
            </a:graphic>
          </wp:inline>
        </w:drawing>
      </w:r>
    </w:p>
    <w:p w:rsidR="00A6188F" w:rsidRPr="00A22131" w:rsidRDefault="00A6188F" w:rsidP="00A6188F">
      <w:pPr>
        <w:jc w:val="center"/>
        <w:rPr>
          <w:rFonts w:ascii="Arial" w:hAnsi="Arial" w:cs="Arial"/>
          <w:b/>
        </w:rPr>
      </w:pPr>
      <w:r w:rsidRPr="00A22131">
        <w:rPr>
          <w:rFonts w:ascii="Arial" w:hAnsi="Arial" w:cs="Arial"/>
          <w:b/>
        </w:rPr>
        <w:t>18(*) et 19 Novembre</w:t>
      </w:r>
      <w:r>
        <w:rPr>
          <w:rFonts w:ascii="Arial" w:hAnsi="Arial" w:cs="Arial"/>
          <w:b/>
        </w:rPr>
        <w:t xml:space="preserve"> </w:t>
      </w:r>
      <w:r w:rsidRPr="00A22131">
        <w:rPr>
          <w:rFonts w:ascii="Arial" w:hAnsi="Arial" w:cs="Arial"/>
          <w:i/>
        </w:rPr>
        <w:t xml:space="preserve">(*) à partir de 14h00 </w:t>
      </w:r>
    </w:p>
    <w:p w:rsidR="00A6188F" w:rsidRPr="00A22131" w:rsidRDefault="00A6188F" w:rsidP="00A6188F">
      <w:pPr>
        <w:jc w:val="center"/>
        <w:rPr>
          <w:rFonts w:ascii="Arial" w:hAnsi="Arial" w:cs="Arial"/>
          <w:b/>
        </w:rPr>
      </w:pPr>
      <w:r w:rsidRPr="00A22131">
        <w:rPr>
          <w:rFonts w:ascii="Arial" w:hAnsi="Arial" w:cs="Arial"/>
          <w:b/>
        </w:rPr>
        <w:t>Cité Centre de Congrès – Lyon</w:t>
      </w:r>
    </w:p>
    <w:p w:rsidR="00A6188F" w:rsidRDefault="00A6188F" w:rsidP="00A6188F">
      <w:pPr>
        <w:jc w:val="center"/>
        <w:rPr>
          <w:rFonts w:ascii="Arial" w:hAnsi="Arial" w:cs="Arial"/>
          <w:b/>
          <w:color w:val="0070C0"/>
        </w:rPr>
      </w:pPr>
    </w:p>
    <w:p w:rsidR="00A6188F" w:rsidRPr="00BD1F35" w:rsidRDefault="00A6188F" w:rsidP="00A6188F">
      <w:pPr>
        <w:jc w:val="center"/>
        <w:rPr>
          <w:rFonts w:ascii="Arial" w:hAnsi="Arial" w:cs="Arial"/>
          <w:b/>
          <w:color w:val="0070C0"/>
        </w:rPr>
      </w:pPr>
      <w:r w:rsidRPr="00BD1F35">
        <w:rPr>
          <w:rFonts w:ascii="Arial" w:hAnsi="Arial" w:cs="Arial"/>
          <w:b/>
          <w:color w:val="0070C0"/>
        </w:rPr>
        <w:t>2 MANIFESTATIONS POUR UNE SYNERGIE GAGNANTE</w:t>
      </w:r>
    </w:p>
    <w:p w:rsidR="00DA0DEF" w:rsidRDefault="00DA0DEF" w:rsidP="00DA0DEF">
      <w:pPr>
        <w:ind w:right="40"/>
        <w:jc w:val="both"/>
        <w:rPr>
          <w:rFonts w:ascii="Arial" w:eastAsia="Times New Roman" w:hAnsi="Arial" w:cs="Arial"/>
          <w:color w:val="222222"/>
          <w:sz w:val="20"/>
          <w:szCs w:val="20"/>
        </w:rPr>
      </w:pPr>
    </w:p>
    <w:p w:rsidR="00A6188F" w:rsidRPr="00A6188F" w:rsidRDefault="00A6188F" w:rsidP="00A6188F">
      <w:pPr>
        <w:jc w:val="both"/>
        <w:rPr>
          <w:rFonts w:ascii="Arial" w:hAnsi="Arial" w:cs="Arial"/>
          <w:i/>
          <w:sz w:val="20"/>
          <w:szCs w:val="20"/>
        </w:rPr>
      </w:pPr>
      <w:r w:rsidRPr="00A6188F">
        <w:rPr>
          <w:rFonts w:ascii="Arial" w:hAnsi="Arial" w:cs="Arial"/>
          <w:b/>
          <w:color w:val="0070C0"/>
          <w:sz w:val="20"/>
          <w:szCs w:val="20"/>
        </w:rPr>
        <w:t xml:space="preserve">Défis et enjeux RH à relever avec le digital, grandes tendances à l’horizon 2020/2024 du marché des </w:t>
      </w:r>
      <w:proofErr w:type="spellStart"/>
      <w:r w:rsidRPr="00A6188F">
        <w:rPr>
          <w:rFonts w:ascii="Arial" w:hAnsi="Arial" w:cs="Arial"/>
          <w:b/>
          <w:color w:val="0070C0"/>
          <w:sz w:val="20"/>
          <w:szCs w:val="20"/>
        </w:rPr>
        <w:t>Serious</w:t>
      </w:r>
      <w:proofErr w:type="spellEnd"/>
      <w:r w:rsidRPr="00A6188F">
        <w:rPr>
          <w:rFonts w:ascii="Arial" w:hAnsi="Arial" w:cs="Arial"/>
          <w:b/>
          <w:color w:val="0070C0"/>
          <w:sz w:val="20"/>
          <w:szCs w:val="20"/>
        </w:rPr>
        <w:t xml:space="preserve"> Games et du </w:t>
      </w:r>
      <w:proofErr w:type="spellStart"/>
      <w:r w:rsidRPr="00A6188F">
        <w:rPr>
          <w:rFonts w:ascii="Arial" w:hAnsi="Arial" w:cs="Arial"/>
          <w:b/>
          <w:color w:val="0070C0"/>
          <w:sz w:val="20"/>
          <w:szCs w:val="20"/>
        </w:rPr>
        <w:t>eLearning</w:t>
      </w:r>
      <w:proofErr w:type="spellEnd"/>
      <w:proofErr w:type="gramStart"/>
      <w:r w:rsidRPr="00A6188F">
        <w:rPr>
          <w:rFonts w:ascii="Arial" w:hAnsi="Arial" w:cs="Arial"/>
          <w:b/>
          <w:color w:val="0070C0"/>
          <w:sz w:val="20"/>
          <w:szCs w:val="20"/>
        </w:rPr>
        <w:t xml:space="preserve"> </w:t>
      </w:r>
      <w:r w:rsidRPr="00A6188F">
        <w:rPr>
          <w:rFonts w:ascii="Arial" w:hAnsi="Arial" w:cs="Arial"/>
          <w:b/>
          <w:color w:val="0070C0"/>
          <w:sz w:val="20"/>
          <w:szCs w:val="20"/>
        </w:rPr>
        <w:t>..</w:t>
      </w:r>
      <w:proofErr w:type="gramEnd"/>
      <w:r w:rsidRPr="00A6188F">
        <w:rPr>
          <w:rFonts w:ascii="Arial" w:hAnsi="Arial" w:cs="Arial"/>
          <w:b/>
          <w:color w:val="0070C0"/>
          <w:sz w:val="20"/>
          <w:szCs w:val="20"/>
        </w:rPr>
        <w:t xml:space="preserve"> un petit tour d’horizon en amont de </w:t>
      </w:r>
      <w:r w:rsidRPr="00A6188F">
        <w:rPr>
          <w:rFonts w:ascii="Arial" w:hAnsi="Arial" w:cs="Arial"/>
          <w:b/>
          <w:color w:val="0070C0"/>
          <w:sz w:val="20"/>
          <w:szCs w:val="20"/>
        </w:rPr>
        <w:t>la 8</w:t>
      </w:r>
      <w:r w:rsidRPr="00A6188F">
        <w:rPr>
          <w:rFonts w:ascii="Arial" w:hAnsi="Arial" w:cs="Arial"/>
          <w:b/>
          <w:color w:val="0070C0"/>
          <w:sz w:val="20"/>
          <w:szCs w:val="20"/>
          <w:vertAlign w:val="superscript"/>
        </w:rPr>
        <w:t>ème</w:t>
      </w:r>
      <w:r w:rsidRPr="00A6188F">
        <w:rPr>
          <w:rFonts w:ascii="Arial" w:hAnsi="Arial" w:cs="Arial"/>
          <w:b/>
          <w:color w:val="0070C0"/>
          <w:sz w:val="20"/>
          <w:szCs w:val="20"/>
        </w:rPr>
        <w:t xml:space="preserve"> Edition </w:t>
      </w:r>
      <w:r w:rsidRPr="00A6188F">
        <w:rPr>
          <w:rStyle w:val="lev"/>
          <w:rFonts w:ascii="Arial" w:hAnsi="Arial" w:cs="Arial"/>
          <w:color w:val="0070C0"/>
          <w:sz w:val="20"/>
          <w:szCs w:val="20"/>
        </w:rPr>
        <w:t xml:space="preserve">Région Auvergne Rhône Alpes </w:t>
      </w:r>
      <w:r w:rsidRPr="00A6188F">
        <w:rPr>
          <w:rFonts w:ascii="Arial" w:hAnsi="Arial" w:cs="Arial"/>
          <w:b/>
          <w:color w:val="0070C0"/>
          <w:sz w:val="20"/>
          <w:szCs w:val="20"/>
        </w:rPr>
        <w:t>des Salons Solutions Ressources Humaines</w:t>
      </w:r>
      <w:r w:rsidRPr="00A6188F">
        <w:rPr>
          <w:rFonts w:ascii="Arial" w:hAnsi="Arial" w:cs="Arial"/>
          <w:b/>
          <w:sz w:val="20"/>
          <w:szCs w:val="20"/>
        </w:rPr>
        <w:t xml:space="preserve"> </w:t>
      </w:r>
      <w:r w:rsidRPr="00A6188F">
        <w:rPr>
          <w:rFonts w:ascii="Arial" w:hAnsi="Arial" w:cs="Arial"/>
          <w:i/>
          <w:sz w:val="20"/>
          <w:szCs w:val="20"/>
        </w:rPr>
        <w:t>(le Salon des outils et Services dédiés aux dirigeants d’entreprises, aux responsables des Ressources Humaines, de la Formation et des Systèmes d’Information)</w:t>
      </w:r>
      <w:r w:rsidRPr="00A6188F">
        <w:rPr>
          <w:rFonts w:ascii="Arial" w:hAnsi="Arial" w:cs="Arial"/>
          <w:sz w:val="20"/>
          <w:szCs w:val="20"/>
        </w:rPr>
        <w:t xml:space="preserve">, </w:t>
      </w:r>
      <w:proofErr w:type="spellStart"/>
      <w:r w:rsidRPr="00A6188F">
        <w:rPr>
          <w:rFonts w:ascii="Arial" w:hAnsi="Arial" w:cs="Arial"/>
          <w:b/>
          <w:color w:val="0070C0"/>
          <w:sz w:val="20"/>
          <w:szCs w:val="20"/>
        </w:rPr>
        <w:t>eLearning</w:t>
      </w:r>
      <w:proofErr w:type="spellEnd"/>
      <w:r w:rsidRPr="00A6188F">
        <w:rPr>
          <w:rFonts w:ascii="Arial" w:hAnsi="Arial" w:cs="Arial"/>
          <w:b/>
          <w:color w:val="0070C0"/>
          <w:sz w:val="20"/>
          <w:szCs w:val="20"/>
        </w:rPr>
        <w:t xml:space="preserve"> Expo </w:t>
      </w:r>
      <w:r w:rsidRPr="00A6188F">
        <w:rPr>
          <w:rFonts w:ascii="Arial" w:hAnsi="Arial" w:cs="Arial"/>
          <w:i/>
          <w:sz w:val="20"/>
          <w:szCs w:val="20"/>
        </w:rPr>
        <w:t xml:space="preserve">(le rendez-vous des entreprises et des fournisseurs </w:t>
      </w:r>
      <w:r w:rsidRPr="00A6188F">
        <w:rPr>
          <w:rFonts w:ascii="Arial" w:hAnsi="Arial" w:cs="Arial"/>
          <w:i/>
          <w:color w:val="000000"/>
          <w:sz w:val="20"/>
          <w:szCs w:val="20"/>
        </w:rPr>
        <w:t xml:space="preserve">en matière de </w:t>
      </w:r>
      <w:proofErr w:type="spellStart"/>
      <w:r w:rsidRPr="00A6188F">
        <w:rPr>
          <w:rFonts w:ascii="Arial" w:hAnsi="Arial" w:cs="Arial"/>
          <w:i/>
          <w:color w:val="000000"/>
          <w:sz w:val="20"/>
          <w:szCs w:val="20"/>
        </w:rPr>
        <w:t>elearning</w:t>
      </w:r>
      <w:proofErr w:type="spellEnd"/>
      <w:r w:rsidRPr="00A6188F">
        <w:rPr>
          <w:rFonts w:ascii="Arial" w:hAnsi="Arial" w:cs="Arial"/>
          <w:i/>
          <w:color w:val="000000"/>
          <w:sz w:val="20"/>
          <w:szCs w:val="20"/>
        </w:rPr>
        <w:t>, de formation et de Digital Learning en France</w:t>
      </w:r>
      <w:r w:rsidRPr="00A6188F">
        <w:rPr>
          <w:rFonts w:ascii="Arial" w:hAnsi="Arial" w:cs="Arial"/>
          <w:b/>
          <w:sz w:val="20"/>
          <w:szCs w:val="20"/>
        </w:rPr>
        <w:t xml:space="preserve"> </w:t>
      </w:r>
      <w:r w:rsidRPr="00A6188F">
        <w:rPr>
          <w:rFonts w:ascii="Arial" w:hAnsi="Arial" w:cs="Arial"/>
          <w:b/>
          <w:color w:val="0070C0"/>
          <w:sz w:val="20"/>
          <w:szCs w:val="20"/>
        </w:rPr>
        <w:t>et la 2</w:t>
      </w:r>
      <w:r w:rsidRPr="00A6188F">
        <w:rPr>
          <w:rFonts w:ascii="Arial" w:hAnsi="Arial" w:cs="Arial"/>
          <w:b/>
          <w:color w:val="0070C0"/>
          <w:sz w:val="20"/>
          <w:szCs w:val="20"/>
          <w:vertAlign w:val="superscript"/>
        </w:rPr>
        <w:t>ème</w:t>
      </w:r>
      <w:r w:rsidRPr="00A6188F">
        <w:rPr>
          <w:rFonts w:ascii="Arial" w:hAnsi="Arial" w:cs="Arial"/>
          <w:b/>
          <w:color w:val="0070C0"/>
          <w:sz w:val="20"/>
          <w:szCs w:val="20"/>
        </w:rPr>
        <w:t xml:space="preserve"> Edition </w:t>
      </w:r>
      <w:r w:rsidRPr="00A6188F">
        <w:rPr>
          <w:rFonts w:ascii="Arial" w:hAnsi="Arial" w:cs="Arial"/>
          <w:color w:val="0070C0"/>
          <w:sz w:val="20"/>
          <w:szCs w:val="20"/>
        </w:rPr>
        <w:t xml:space="preserve"> </w:t>
      </w:r>
      <w:r w:rsidRPr="00A6188F">
        <w:rPr>
          <w:rFonts w:ascii="Arial" w:hAnsi="Arial" w:cs="Arial"/>
          <w:sz w:val="20"/>
          <w:szCs w:val="20"/>
        </w:rPr>
        <w:t>(Conférences/Exposition)</w:t>
      </w:r>
      <w:r w:rsidRPr="00A6188F">
        <w:rPr>
          <w:rFonts w:ascii="Arial" w:hAnsi="Arial" w:cs="Arial"/>
          <w:i/>
          <w:sz w:val="20"/>
          <w:szCs w:val="20"/>
        </w:rPr>
        <w:t> </w:t>
      </w:r>
      <w:r w:rsidRPr="00A6188F">
        <w:rPr>
          <w:rFonts w:ascii="Arial" w:hAnsi="Arial" w:cs="Arial"/>
          <w:sz w:val="20"/>
          <w:szCs w:val="20"/>
        </w:rPr>
        <w:t>:</w:t>
      </w:r>
      <w:r w:rsidRPr="00A6188F">
        <w:rPr>
          <w:rFonts w:ascii="Arial" w:hAnsi="Arial" w:cs="Arial"/>
          <w:b/>
          <w:color w:val="0070C0"/>
          <w:sz w:val="20"/>
          <w:szCs w:val="20"/>
        </w:rPr>
        <w:t>des Salons Solutions</w:t>
      </w:r>
      <w:r w:rsidRPr="00A6188F">
        <w:rPr>
          <w:rFonts w:ascii="Arial" w:hAnsi="Arial" w:cs="Arial"/>
          <w:color w:val="0070C0"/>
          <w:sz w:val="20"/>
          <w:szCs w:val="20"/>
        </w:rPr>
        <w:t xml:space="preserve"> </w:t>
      </w:r>
      <w:r w:rsidRPr="00A6188F">
        <w:rPr>
          <w:rFonts w:ascii="Arial" w:hAnsi="Arial" w:cs="Arial"/>
          <w:i/>
          <w:sz w:val="20"/>
          <w:szCs w:val="20"/>
        </w:rPr>
        <w:t>( ERP – DEMAT – CRM et BI ….).</w:t>
      </w:r>
    </w:p>
    <w:p w:rsidR="00A6188F" w:rsidRPr="00A6188F" w:rsidRDefault="00A6188F" w:rsidP="00A6188F">
      <w:pPr>
        <w:tabs>
          <w:tab w:val="left" w:pos="1843"/>
        </w:tabs>
        <w:jc w:val="both"/>
        <w:rPr>
          <w:rFonts w:ascii="Arial" w:hAnsi="Arial" w:cs="Arial"/>
          <w:b/>
          <w:sz w:val="20"/>
          <w:szCs w:val="20"/>
        </w:rPr>
      </w:pPr>
    </w:p>
    <w:p w:rsidR="00A6188F" w:rsidRDefault="00A6188F" w:rsidP="00DA0DEF">
      <w:pPr>
        <w:ind w:right="40"/>
        <w:jc w:val="both"/>
        <w:rPr>
          <w:rFonts w:ascii="Arial" w:eastAsia="Times New Roman" w:hAnsi="Arial" w:cs="Arial"/>
          <w:color w:val="222222"/>
          <w:sz w:val="20"/>
          <w:szCs w:val="20"/>
        </w:rPr>
      </w:pPr>
    </w:p>
    <w:p w:rsidR="00DA0DEF" w:rsidRPr="00DA0DEF" w:rsidRDefault="00DA0DEF" w:rsidP="00DA0DEF">
      <w:pPr>
        <w:ind w:right="40"/>
        <w:jc w:val="center"/>
        <w:rPr>
          <w:rFonts w:ascii="Arial" w:eastAsia="Times New Roman" w:hAnsi="Arial" w:cs="Arial"/>
          <w:b/>
          <w:color w:val="0070C0"/>
          <w:sz w:val="20"/>
          <w:szCs w:val="20"/>
        </w:rPr>
      </w:pPr>
      <w:r w:rsidRPr="00DA0DEF">
        <w:rPr>
          <w:rFonts w:ascii="Arial" w:eastAsia="Times New Roman" w:hAnsi="Arial" w:cs="Arial"/>
          <w:b/>
          <w:color w:val="0070C0"/>
          <w:sz w:val="20"/>
          <w:szCs w:val="20"/>
        </w:rPr>
        <w:t xml:space="preserve">Quels défis RH à relever avec le digital selon MARKESS by </w:t>
      </w:r>
      <w:proofErr w:type="spellStart"/>
      <w:r w:rsidRPr="00DA0DEF">
        <w:rPr>
          <w:rFonts w:ascii="Arial" w:eastAsia="Times New Roman" w:hAnsi="Arial" w:cs="Arial"/>
          <w:b/>
          <w:color w:val="0070C0"/>
          <w:sz w:val="20"/>
          <w:szCs w:val="20"/>
        </w:rPr>
        <w:t>exaegis</w:t>
      </w:r>
      <w:proofErr w:type="spellEnd"/>
    </w:p>
    <w:p w:rsidR="00DA0DEF" w:rsidRDefault="00DA0DEF" w:rsidP="00DA0DEF">
      <w:pPr>
        <w:ind w:right="40"/>
        <w:jc w:val="both"/>
        <w:rPr>
          <w:rFonts w:ascii="Arial" w:eastAsia="Times New Roman" w:hAnsi="Arial" w:cs="Arial"/>
          <w:color w:val="222222"/>
          <w:sz w:val="20"/>
          <w:szCs w:val="20"/>
        </w:rPr>
      </w:pPr>
    </w:p>
    <w:p w:rsidR="00DA0DEF" w:rsidRDefault="00DA0DEF" w:rsidP="00DA0DEF">
      <w:pPr>
        <w:ind w:right="40"/>
        <w:jc w:val="both"/>
        <w:rPr>
          <w:rFonts w:ascii="Arial" w:eastAsia="Times New Roman" w:hAnsi="Arial" w:cs="Arial"/>
          <w:color w:val="222222"/>
          <w:sz w:val="20"/>
          <w:szCs w:val="20"/>
        </w:rPr>
      </w:pPr>
      <w:r w:rsidRPr="00DA0DEF">
        <w:rPr>
          <w:rFonts w:ascii="Arial" w:eastAsia="Times New Roman" w:hAnsi="Arial" w:cs="Arial"/>
          <w:color w:val="222222"/>
          <w:sz w:val="20"/>
          <w:szCs w:val="20"/>
        </w:rPr>
        <w:t xml:space="preserve">MARKESS by </w:t>
      </w:r>
      <w:proofErr w:type="spellStart"/>
      <w:r w:rsidRPr="00DA0DEF">
        <w:rPr>
          <w:rFonts w:ascii="Arial" w:eastAsia="Times New Roman" w:hAnsi="Arial" w:cs="Arial"/>
          <w:color w:val="222222"/>
          <w:sz w:val="20"/>
          <w:szCs w:val="20"/>
        </w:rPr>
        <w:t>exægis</w:t>
      </w:r>
      <w:proofErr w:type="spellEnd"/>
      <w:r w:rsidRPr="00DA0DEF">
        <w:rPr>
          <w:rFonts w:ascii="Arial" w:eastAsia="Times New Roman" w:hAnsi="Arial" w:cs="Arial"/>
          <w:color w:val="222222"/>
          <w:sz w:val="20"/>
          <w:szCs w:val="20"/>
        </w:rPr>
        <w:t xml:space="preserve"> évalue </w:t>
      </w:r>
      <w:r w:rsidRPr="00DA0DEF">
        <w:rPr>
          <w:rFonts w:ascii="Arial" w:eastAsia="Times New Roman" w:hAnsi="Arial" w:cs="Arial"/>
          <w:b/>
          <w:color w:val="222222"/>
          <w:sz w:val="20"/>
          <w:szCs w:val="20"/>
        </w:rPr>
        <w:t>le marché français des solutions RH et des services associés à près de 2,8 milliards d’euros en 2018,</w:t>
      </w:r>
      <w:r w:rsidRPr="00DA0DEF">
        <w:rPr>
          <w:rFonts w:ascii="Arial" w:eastAsia="Times New Roman" w:hAnsi="Arial" w:cs="Arial"/>
          <w:color w:val="222222"/>
          <w:sz w:val="20"/>
          <w:szCs w:val="20"/>
        </w:rPr>
        <w:t xml:space="preserve"> en croissance de +7,8% par rapport à 2017. </w:t>
      </w:r>
    </w:p>
    <w:p w:rsidR="00DA0DEF" w:rsidRDefault="00DA0DEF" w:rsidP="00DA0DEF">
      <w:pPr>
        <w:ind w:right="40"/>
        <w:jc w:val="both"/>
        <w:rPr>
          <w:rFonts w:ascii="Arial" w:eastAsia="Times New Roman" w:hAnsi="Arial" w:cs="Arial"/>
          <w:color w:val="222222"/>
          <w:sz w:val="20"/>
          <w:szCs w:val="20"/>
        </w:rPr>
      </w:pPr>
    </w:p>
    <w:p w:rsidR="00DA0DEF" w:rsidRDefault="00DA0DEF" w:rsidP="00DA0DEF">
      <w:pPr>
        <w:ind w:right="40"/>
        <w:jc w:val="both"/>
        <w:rPr>
          <w:rFonts w:ascii="Arial" w:eastAsia="Times New Roman" w:hAnsi="Arial" w:cs="Arial"/>
          <w:b/>
          <w:color w:val="222222"/>
          <w:sz w:val="20"/>
          <w:szCs w:val="20"/>
        </w:rPr>
      </w:pPr>
      <w:r w:rsidRPr="00DA0DEF">
        <w:rPr>
          <w:rFonts w:ascii="Arial" w:eastAsia="Times New Roman" w:hAnsi="Arial" w:cs="Arial"/>
          <w:b/>
          <w:color w:val="222222"/>
          <w:sz w:val="20"/>
          <w:szCs w:val="20"/>
        </w:rPr>
        <w:t>Ce marché devrait conserver une croissance supérieure à +7% d’ici 2020</w:t>
      </w:r>
      <w:r w:rsidRPr="00DA0DEF">
        <w:rPr>
          <w:rFonts w:ascii="Arial" w:eastAsia="Times New Roman" w:hAnsi="Arial" w:cs="Arial"/>
          <w:color w:val="222222"/>
          <w:sz w:val="20"/>
          <w:szCs w:val="20"/>
        </w:rPr>
        <w:t xml:space="preserve">. Sa part dans le marché plus global des logiciels et services IT français devrait continuer à croître, passant de 4,8% en 2017 à 5,1% en 2019 puis </w:t>
      </w:r>
      <w:r w:rsidRPr="00DA0DEF">
        <w:rPr>
          <w:rFonts w:ascii="Arial" w:eastAsia="Times New Roman" w:hAnsi="Arial" w:cs="Arial"/>
          <w:b/>
          <w:color w:val="222222"/>
          <w:sz w:val="20"/>
          <w:szCs w:val="20"/>
        </w:rPr>
        <w:t>avoisiner les 3,2 milliards d’euros en 2020.</w:t>
      </w:r>
    </w:p>
    <w:p w:rsidR="00DA0DEF" w:rsidRPr="00DA0DEF" w:rsidRDefault="00DA0DEF" w:rsidP="00DA0DEF">
      <w:pPr>
        <w:ind w:right="40"/>
        <w:jc w:val="both"/>
        <w:rPr>
          <w:rFonts w:ascii="Arial" w:eastAsia="Times New Roman" w:hAnsi="Arial" w:cs="Arial"/>
          <w:sz w:val="20"/>
          <w:szCs w:val="20"/>
        </w:rPr>
      </w:pPr>
    </w:p>
    <w:p w:rsidR="00DA0DEF" w:rsidRPr="00DA0DEF" w:rsidRDefault="00DA0DEF" w:rsidP="00DA0DEF">
      <w:pPr>
        <w:ind w:right="40"/>
        <w:jc w:val="center"/>
        <w:rPr>
          <w:rFonts w:ascii="Arial" w:eastAsia="Times New Roman" w:hAnsi="Arial" w:cs="Arial"/>
          <w:sz w:val="20"/>
          <w:szCs w:val="20"/>
        </w:rPr>
      </w:pPr>
      <w:r w:rsidRPr="00DA0DEF">
        <w:rPr>
          <w:rFonts w:ascii="Arial" w:eastAsia="Times New Roman" w:hAnsi="Arial" w:cs="Arial"/>
          <w:noProof/>
          <w:color w:val="222222"/>
          <w:sz w:val="20"/>
          <w:szCs w:val="20"/>
        </w:rPr>
        <w:drawing>
          <wp:inline distT="0" distB="0" distL="0" distR="0">
            <wp:extent cx="5476676" cy="3076575"/>
            <wp:effectExtent l="0" t="0" r="0" b="0"/>
            <wp:docPr id="3" name="Image 3" descr="https://lh3.googleusercontent.com/vaIphI41CEyh0exEUDVpwrjcaBNp2fP4tg3QsJQXEyo5IstmTR9TuQ9NuLB_GRZVLMHkd9V1qpXocqg-TExUrb_110DZumVD-5IyC2-KyBpLm2Ax7aqKwbJ5qrJIPa-BSxbUeA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aIphI41CEyh0exEUDVpwrjcaBNp2fP4tg3QsJQXEyo5IstmTR9TuQ9NuLB_GRZVLMHkd9V1qpXocqg-TExUrb_110DZumVD-5IyC2-KyBpLm2Ax7aqKwbJ5qrJIPa-BSxbUeAy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8787" cy="3088996"/>
                    </a:xfrm>
                    <a:prstGeom prst="rect">
                      <a:avLst/>
                    </a:prstGeom>
                    <a:noFill/>
                    <a:ln>
                      <a:noFill/>
                    </a:ln>
                  </pic:spPr>
                </pic:pic>
              </a:graphicData>
            </a:graphic>
          </wp:inline>
        </w:drawing>
      </w:r>
      <w:r w:rsidRPr="00DA0DEF">
        <w:rPr>
          <w:rFonts w:ascii="Arial" w:eastAsia="Times New Roman" w:hAnsi="Arial" w:cs="Arial"/>
          <w:color w:val="222222"/>
          <w:sz w:val="20"/>
          <w:szCs w:val="20"/>
        </w:rPr>
        <w:br/>
      </w:r>
      <w:r w:rsidRPr="00DA0DEF">
        <w:rPr>
          <w:rFonts w:ascii="Arial" w:eastAsia="Times New Roman" w:hAnsi="Arial" w:cs="Arial"/>
          <w:color w:val="222222"/>
          <w:sz w:val="20"/>
          <w:szCs w:val="20"/>
        </w:rPr>
        <w:br/>
      </w:r>
    </w:p>
    <w:p w:rsidR="00DA0DEF" w:rsidRDefault="00DA0DEF" w:rsidP="00DA0DEF">
      <w:pPr>
        <w:ind w:right="40"/>
        <w:jc w:val="both"/>
        <w:rPr>
          <w:rFonts w:ascii="Arial" w:eastAsia="Times New Roman" w:hAnsi="Arial" w:cs="Arial"/>
          <w:color w:val="222222"/>
          <w:sz w:val="20"/>
          <w:szCs w:val="20"/>
        </w:rPr>
      </w:pPr>
      <w:r w:rsidRPr="00DA0DEF">
        <w:rPr>
          <w:rFonts w:ascii="Arial" w:eastAsia="Times New Roman" w:hAnsi="Arial" w:cs="Arial"/>
          <w:color w:val="222222"/>
          <w:sz w:val="20"/>
          <w:szCs w:val="20"/>
        </w:rPr>
        <w:lastRenderedPageBreak/>
        <w:t xml:space="preserve">Ce marché est boosté par la digitalisation des processus RH qui progresse et est désormais multi-dimensionnelle (sociale, mobile, dans le cloud...) en réponse aux défis que doivent relever les RH : automatiser, accélérer le traitement des processus mais avec également un souci accru d'améliorer la relation collaborateur. </w:t>
      </w:r>
    </w:p>
    <w:p w:rsidR="00DA0DEF" w:rsidRPr="00DA0DEF" w:rsidRDefault="00DA0DEF" w:rsidP="00DA0DEF">
      <w:pPr>
        <w:ind w:right="40"/>
        <w:jc w:val="both"/>
        <w:rPr>
          <w:rFonts w:ascii="Arial" w:eastAsia="Times New Roman" w:hAnsi="Arial" w:cs="Arial"/>
          <w:sz w:val="20"/>
          <w:szCs w:val="20"/>
        </w:rPr>
      </w:pP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b/>
          <w:bCs/>
          <w:color w:val="222222"/>
          <w:sz w:val="20"/>
          <w:szCs w:val="20"/>
        </w:rPr>
        <w:t xml:space="preserve">Quand les RH se transforment en professionnels du marketing </w:t>
      </w: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color w:val="222222"/>
          <w:sz w:val="20"/>
          <w:szCs w:val="20"/>
        </w:rPr>
        <w:t xml:space="preserve">Le besoin est perceptible depuis plusieurs années et ne fait que croître : il s’agit pour les RH d'engager davantage le collaborateur, de simplifier son parcours dans l'entreprise mais aussi de (re)gagner sa confiance et d'établir un lien plus fort avec lui. Aussi, au même titre que les experts de la relation client créent une expérience client, les RH s’attachent de plus en plus à l’expérience collaborateur : 43% des DRH voient la création d’une telle expérience comme un enjeu majeur en 2018 alors qu’ils n’étaient que 32% à la considérer comme tel en 2016. </w:t>
      </w:r>
    </w:p>
    <w:p w:rsidR="00DA0DEF" w:rsidRDefault="00DA0DEF" w:rsidP="00DA0DEF">
      <w:pPr>
        <w:ind w:right="40"/>
        <w:jc w:val="both"/>
        <w:rPr>
          <w:rFonts w:ascii="Arial" w:eastAsia="Times New Roman" w:hAnsi="Arial" w:cs="Arial"/>
          <w:color w:val="222222"/>
          <w:sz w:val="20"/>
          <w:szCs w:val="20"/>
        </w:rPr>
      </w:pPr>
    </w:p>
    <w:p w:rsidR="00DA0DEF" w:rsidRDefault="00DA0DEF" w:rsidP="00DA0DEF">
      <w:pPr>
        <w:ind w:right="40"/>
        <w:jc w:val="both"/>
        <w:rPr>
          <w:rFonts w:ascii="Arial" w:eastAsia="Times New Roman" w:hAnsi="Arial" w:cs="Arial"/>
          <w:color w:val="222222"/>
          <w:sz w:val="20"/>
          <w:szCs w:val="20"/>
        </w:rPr>
      </w:pPr>
      <w:r w:rsidRPr="00DA0DEF">
        <w:rPr>
          <w:rFonts w:ascii="Arial" w:eastAsia="Times New Roman" w:hAnsi="Arial" w:cs="Arial"/>
          <w:color w:val="222222"/>
          <w:sz w:val="20"/>
          <w:szCs w:val="20"/>
        </w:rPr>
        <w:t>Au-delà de l’enjeu RH, en mettant en place des outils et des stratégies de marketing RH, c’est aussi un défi “client” que cherchent à relever les entreprises en s’appuyant sur la “symétrie des attentions” qui admet que d’une expérience collaborateur peut découler une satisfaction client.</w:t>
      </w:r>
    </w:p>
    <w:p w:rsidR="00DA0DEF" w:rsidRPr="00DA0DEF" w:rsidRDefault="00DA0DEF" w:rsidP="00DA0DEF">
      <w:pPr>
        <w:ind w:right="40"/>
        <w:jc w:val="both"/>
        <w:rPr>
          <w:rFonts w:ascii="Arial" w:eastAsia="Times New Roman" w:hAnsi="Arial" w:cs="Arial"/>
          <w:sz w:val="20"/>
          <w:szCs w:val="20"/>
        </w:rPr>
      </w:pP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b/>
          <w:bCs/>
          <w:color w:val="222222"/>
          <w:sz w:val="20"/>
          <w:szCs w:val="20"/>
        </w:rPr>
        <w:t>Devenir maître de la donnée RH</w:t>
      </w: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color w:val="222222"/>
          <w:sz w:val="20"/>
          <w:szCs w:val="20"/>
        </w:rPr>
        <w:t xml:space="preserve">Les RH doivent donc traiter le collaborateur avec la même attention que celle donnée au client et cette équité de traitement doit aussi se retrouver entre les collaborateurs. Les RH doivent être justes et équitables. Cela suppose d’améliorer la connaissance collaborateur, ce qui passe par une gestion maîtrisée et optimale des données RH. Des données de qualité sont une condition sine qua non à cela mais aussi à des actions et une politique RH plus performante. L’enquête menée en 2018 par MARKESS by </w:t>
      </w:r>
      <w:proofErr w:type="spellStart"/>
      <w:r w:rsidRPr="00DA0DEF">
        <w:rPr>
          <w:rFonts w:ascii="Arial" w:eastAsia="Times New Roman" w:hAnsi="Arial" w:cs="Arial"/>
          <w:color w:val="222222"/>
          <w:sz w:val="20"/>
          <w:szCs w:val="20"/>
        </w:rPr>
        <w:t>exægis</w:t>
      </w:r>
      <w:proofErr w:type="spellEnd"/>
      <w:r w:rsidRPr="00DA0DEF">
        <w:rPr>
          <w:rFonts w:ascii="Arial" w:eastAsia="Times New Roman" w:hAnsi="Arial" w:cs="Arial"/>
          <w:color w:val="222222"/>
          <w:sz w:val="20"/>
          <w:szCs w:val="20"/>
        </w:rPr>
        <w:t xml:space="preserve"> auprès de DRH sur la gestion des données montre qu’ils se fixent des priorités relevant surtout de la gouvernance des données RH (confidentialité, intégrité, compliance…).</w:t>
      </w:r>
    </w:p>
    <w:p w:rsidR="00DA0DEF" w:rsidRDefault="00DA0DEF" w:rsidP="00DA0DEF">
      <w:pPr>
        <w:ind w:right="40"/>
        <w:jc w:val="both"/>
        <w:rPr>
          <w:rFonts w:ascii="Arial" w:eastAsia="Times New Roman" w:hAnsi="Arial" w:cs="Arial"/>
          <w:b/>
          <w:bCs/>
          <w:color w:val="222222"/>
          <w:sz w:val="20"/>
          <w:szCs w:val="20"/>
        </w:rPr>
      </w:pP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b/>
          <w:bCs/>
          <w:color w:val="222222"/>
          <w:sz w:val="20"/>
          <w:szCs w:val="20"/>
        </w:rPr>
        <w:t>Intelligence artificielle : un rêve ou déjà une réalité dans les RH ?</w:t>
      </w:r>
    </w:p>
    <w:p w:rsidR="00DA0DEF" w:rsidRPr="00DA0DEF" w:rsidRDefault="00DA0DEF" w:rsidP="00DA0DEF">
      <w:pPr>
        <w:ind w:right="40"/>
        <w:jc w:val="both"/>
        <w:rPr>
          <w:rFonts w:ascii="Arial" w:eastAsia="Times New Roman" w:hAnsi="Arial" w:cs="Arial"/>
          <w:sz w:val="20"/>
          <w:szCs w:val="20"/>
        </w:rPr>
      </w:pPr>
      <w:r w:rsidRPr="00DA0DEF">
        <w:rPr>
          <w:rFonts w:ascii="Arial" w:eastAsia="Times New Roman" w:hAnsi="Arial" w:cs="Arial"/>
          <w:color w:val="222222"/>
          <w:sz w:val="20"/>
          <w:szCs w:val="20"/>
        </w:rPr>
        <w:t xml:space="preserve">Disposer d’une donnée juste, fiable et en quantité suffisante permet à la fonction RH d’innover en lançant des projets autour de l’intelligence artificielle (IA), du machine </w:t>
      </w:r>
      <w:proofErr w:type="spellStart"/>
      <w:r w:rsidRPr="00DA0DEF">
        <w:rPr>
          <w:rFonts w:ascii="Arial" w:eastAsia="Times New Roman" w:hAnsi="Arial" w:cs="Arial"/>
          <w:color w:val="222222"/>
          <w:sz w:val="20"/>
          <w:szCs w:val="20"/>
        </w:rPr>
        <w:t>learning</w:t>
      </w:r>
      <w:proofErr w:type="spellEnd"/>
      <w:r w:rsidRPr="00DA0DEF">
        <w:rPr>
          <w:rFonts w:ascii="Arial" w:eastAsia="Times New Roman" w:hAnsi="Arial" w:cs="Arial"/>
          <w:color w:val="222222"/>
          <w:sz w:val="20"/>
          <w:szCs w:val="20"/>
        </w:rPr>
        <w:t xml:space="preserve"> (ML), des robots conversationnels (ou </w:t>
      </w:r>
      <w:proofErr w:type="spellStart"/>
      <w:r w:rsidRPr="00DA0DEF">
        <w:rPr>
          <w:rFonts w:ascii="Arial" w:eastAsia="Times New Roman" w:hAnsi="Arial" w:cs="Arial"/>
          <w:color w:val="222222"/>
          <w:sz w:val="20"/>
          <w:szCs w:val="20"/>
        </w:rPr>
        <w:t>chatbots</w:t>
      </w:r>
      <w:proofErr w:type="spellEnd"/>
      <w:r w:rsidRPr="00DA0DEF">
        <w:rPr>
          <w:rFonts w:ascii="Arial" w:eastAsia="Times New Roman" w:hAnsi="Arial" w:cs="Arial"/>
          <w:color w:val="222222"/>
          <w:sz w:val="20"/>
          <w:szCs w:val="20"/>
        </w:rPr>
        <w:t xml:space="preserve">). Ces technologies s’immiscent peu à peu dans la fonction RH, avec des usages concrets qui se dessinent tant dans le recrutement, la mobilité, la formation… Pour autant, seuls 17% dans décideurs RH interrogés par MARKESS by </w:t>
      </w:r>
      <w:proofErr w:type="spellStart"/>
      <w:r w:rsidRPr="00DA0DEF">
        <w:rPr>
          <w:rFonts w:ascii="Arial" w:eastAsia="Times New Roman" w:hAnsi="Arial" w:cs="Arial"/>
          <w:color w:val="222222"/>
          <w:sz w:val="20"/>
          <w:szCs w:val="20"/>
        </w:rPr>
        <w:t>exaegis</w:t>
      </w:r>
      <w:proofErr w:type="spellEnd"/>
      <w:r w:rsidRPr="00DA0DEF">
        <w:rPr>
          <w:rFonts w:ascii="Arial" w:eastAsia="Times New Roman" w:hAnsi="Arial" w:cs="Arial"/>
          <w:color w:val="222222"/>
          <w:sz w:val="20"/>
          <w:szCs w:val="20"/>
        </w:rPr>
        <w:t xml:space="preserve"> indiquent avoir déjà investi dans l’IA ou être prêts à le faire à plus ou moins court terme. </w:t>
      </w:r>
    </w:p>
    <w:p w:rsidR="00DE0594" w:rsidRPr="00285BA9" w:rsidRDefault="00DE0594" w:rsidP="00285BA9">
      <w:pPr>
        <w:jc w:val="center"/>
        <w:rPr>
          <w:b/>
          <w:color w:val="0070C0"/>
        </w:rPr>
      </w:pPr>
    </w:p>
    <w:p w:rsidR="00285BA9" w:rsidRPr="00285BA9" w:rsidRDefault="00285BA9" w:rsidP="00285BA9">
      <w:pPr>
        <w:jc w:val="center"/>
        <w:rPr>
          <w:rStyle w:val="notranslate"/>
          <w:rFonts w:ascii="Arial" w:hAnsi="Arial" w:cs="Arial"/>
          <w:b/>
          <w:color w:val="0070C0"/>
          <w:sz w:val="20"/>
          <w:szCs w:val="20"/>
        </w:rPr>
      </w:pPr>
      <w:r w:rsidRPr="00285BA9">
        <w:rPr>
          <w:rStyle w:val="notranslate"/>
          <w:rFonts w:ascii="Arial" w:hAnsi="Arial" w:cs="Arial"/>
          <w:b/>
          <w:color w:val="0070C0"/>
          <w:sz w:val="20"/>
          <w:szCs w:val="20"/>
        </w:rPr>
        <w:t xml:space="preserve">Les marchés des </w:t>
      </w:r>
      <w:proofErr w:type="spellStart"/>
      <w:r w:rsidRPr="00285BA9">
        <w:rPr>
          <w:rStyle w:val="notranslate"/>
          <w:rFonts w:ascii="Arial" w:hAnsi="Arial" w:cs="Arial"/>
          <w:b/>
          <w:color w:val="0070C0"/>
          <w:sz w:val="20"/>
          <w:szCs w:val="20"/>
        </w:rPr>
        <w:t>serious</w:t>
      </w:r>
      <w:proofErr w:type="spellEnd"/>
      <w:r w:rsidRPr="00285BA9">
        <w:rPr>
          <w:rStyle w:val="notranslate"/>
          <w:rFonts w:ascii="Arial" w:hAnsi="Arial" w:cs="Arial"/>
          <w:b/>
          <w:color w:val="0070C0"/>
          <w:sz w:val="20"/>
          <w:szCs w:val="20"/>
        </w:rPr>
        <w:t xml:space="preserve"> </w:t>
      </w:r>
      <w:proofErr w:type="spellStart"/>
      <w:r w:rsidRPr="00285BA9">
        <w:rPr>
          <w:rStyle w:val="notranslate"/>
          <w:rFonts w:ascii="Arial" w:hAnsi="Arial" w:cs="Arial"/>
          <w:b/>
          <w:color w:val="0070C0"/>
          <w:sz w:val="20"/>
          <w:szCs w:val="20"/>
        </w:rPr>
        <w:t>games</w:t>
      </w:r>
      <w:proofErr w:type="spellEnd"/>
      <w:r w:rsidRPr="00285BA9">
        <w:rPr>
          <w:rStyle w:val="notranslate"/>
          <w:rFonts w:ascii="Arial" w:hAnsi="Arial" w:cs="Arial"/>
          <w:b/>
          <w:color w:val="0070C0"/>
          <w:sz w:val="20"/>
          <w:szCs w:val="20"/>
        </w:rPr>
        <w:t xml:space="preserve"> et du </w:t>
      </w:r>
      <w:proofErr w:type="spellStart"/>
      <w:r w:rsidRPr="00285BA9">
        <w:rPr>
          <w:rStyle w:val="notranslate"/>
          <w:rFonts w:ascii="Arial" w:hAnsi="Arial" w:cs="Arial"/>
          <w:b/>
          <w:color w:val="0070C0"/>
          <w:sz w:val="20"/>
          <w:szCs w:val="20"/>
        </w:rPr>
        <w:t>elearning</w:t>
      </w:r>
      <w:proofErr w:type="spellEnd"/>
      <w:r w:rsidRPr="00285BA9">
        <w:rPr>
          <w:rStyle w:val="notranslate"/>
          <w:rFonts w:ascii="Arial" w:hAnsi="Arial" w:cs="Arial"/>
          <w:b/>
          <w:color w:val="0070C0"/>
          <w:sz w:val="20"/>
          <w:szCs w:val="20"/>
        </w:rPr>
        <w:t xml:space="preserve"> ont toujours de beaux jours devant eux</w:t>
      </w:r>
    </w:p>
    <w:p w:rsidR="00285BA9" w:rsidRDefault="00285BA9" w:rsidP="0048455D">
      <w:pPr>
        <w:jc w:val="both"/>
        <w:rPr>
          <w:rStyle w:val="notranslate"/>
          <w:rFonts w:ascii="Arial" w:hAnsi="Arial" w:cs="Arial"/>
          <w:sz w:val="20"/>
          <w:szCs w:val="20"/>
        </w:rPr>
      </w:pPr>
    </w:p>
    <w:p w:rsidR="00DE0594" w:rsidRDefault="00EB1B2D" w:rsidP="0048455D">
      <w:pPr>
        <w:jc w:val="both"/>
        <w:rPr>
          <w:rStyle w:val="notranslate"/>
          <w:rFonts w:ascii="Arial" w:hAnsi="Arial" w:cs="Arial"/>
          <w:b/>
          <w:sz w:val="20"/>
          <w:szCs w:val="20"/>
        </w:rPr>
      </w:pPr>
      <w:r w:rsidRPr="0048455D">
        <w:rPr>
          <w:rStyle w:val="notranslate"/>
          <w:rFonts w:ascii="Arial" w:hAnsi="Arial" w:cs="Arial"/>
          <w:sz w:val="20"/>
          <w:szCs w:val="20"/>
        </w:rPr>
        <w:t xml:space="preserve">Selon </w:t>
      </w:r>
      <w:r w:rsidR="00A707AA">
        <w:rPr>
          <w:rStyle w:val="notranslate"/>
          <w:rFonts w:ascii="Arial" w:hAnsi="Arial" w:cs="Arial"/>
          <w:sz w:val="20"/>
          <w:szCs w:val="20"/>
        </w:rPr>
        <w:t>le</w:t>
      </w:r>
      <w:r w:rsidRPr="0048455D">
        <w:rPr>
          <w:rStyle w:val="notranslate"/>
          <w:rFonts w:ascii="Arial" w:hAnsi="Arial" w:cs="Arial"/>
          <w:sz w:val="20"/>
          <w:szCs w:val="20"/>
        </w:rPr>
        <w:t xml:space="preserve"> rapport de</w:t>
      </w:r>
      <w:r w:rsidRPr="0048455D">
        <w:rPr>
          <w:rStyle w:val="lev"/>
          <w:rFonts w:ascii="Arial" w:hAnsi="Arial" w:cs="Arial"/>
          <w:sz w:val="20"/>
          <w:szCs w:val="20"/>
        </w:rPr>
        <w:t xml:space="preserve"> Vertical</w:t>
      </w:r>
      <w:r w:rsidRPr="0048455D">
        <w:rPr>
          <w:rStyle w:val="notranslate"/>
          <w:rFonts w:ascii="Arial" w:hAnsi="Arial" w:cs="Arial"/>
          <w:sz w:val="20"/>
          <w:szCs w:val="20"/>
        </w:rPr>
        <w:t xml:space="preserve">, </w:t>
      </w:r>
      <w:r w:rsidRPr="00A707AA">
        <w:rPr>
          <w:rStyle w:val="notranslate"/>
          <w:rFonts w:ascii="Arial" w:hAnsi="Arial" w:cs="Arial"/>
          <w:b/>
          <w:sz w:val="20"/>
          <w:szCs w:val="20"/>
        </w:rPr>
        <w:t xml:space="preserve">le marché des </w:t>
      </w:r>
      <w:proofErr w:type="spellStart"/>
      <w:r w:rsidRPr="00A707AA">
        <w:rPr>
          <w:rStyle w:val="notranslate"/>
          <w:rFonts w:ascii="Arial" w:hAnsi="Arial" w:cs="Arial"/>
          <w:b/>
          <w:sz w:val="20"/>
          <w:szCs w:val="20"/>
        </w:rPr>
        <w:t>serious</w:t>
      </w:r>
      <w:proofErr w:type="spellEnd"/>
      <w:r w:rsidRPr="00A707AA">
        <w:rPr>
          <w:rStyle w:val="notranslate"/>
          <w:rFonts w:ascii="Arial" w:hAnsi="Arial" w:cs="Arial"/>
          <w:b/>
          <w:sz w:val="20"/>
          <w:szCs w:val="20"/>
        </w:rPr>
        <w:t xml:space="preserve"> </w:t>
      </w:r>
      <w:proofErr w:type="spellStart"/>
      <w:r w:rsidRPr="00A707AA">
        <w:rPr>
          <w:rStyle w:val="notranslate"/>
          <w:rFonts w:ascii="Arial" w:hAnsi="Arial" w:cs="Arial"/>
          <w:b/>
          <w:sz w:val="20"/>
          <w:szCs w:val="20"/>
        </w:rPr>
        <w:t>games</w:t>
      </w:r>
      <w:proofErr w:type="spellEnd"/>
      <w:r w:rsidRPr="00A707AA">
        <w:rPr>
          <w:rStyle w:val="notranslate"/>
          <w:rFonts w:ascii="Arial" w:hAnsi="Arial" w:cs="Arial"/>
          <w:b/>
          <w:sz w:val="20"/>
          <w:szCs w:val="20"/>
        </w:rPr>
        <w:t xml:space="preserve"> devrait atteindre 5 448,82 millions de dollars d’ici 2020.</w:t>
      </w:r>
    </w:p>
    <w:p w:rsidR="00A707AA" w:rsidRPr="00395B34" w:rsidRDefault="00A707AA" w:rsidP="00395B34">
      <w:pPr>
        <w:jc w:val="both"/>
        <w:rPr>
          <w:rStyle w:val="notranslate"/>
          <w:rFonts w:ascii="Arial" w:hAnsi="Arial" w:cs="Arial"/>
          <w:b/>
          <w:sz w:val="20"/>
          <w:szCs w:val="20"/>
        </w:rPr>
      </w:pPr>
    </w:p>
    <w:p w:rsidR="00A707AA" w:rsidRPr="00395B34" w:rsidRDefault="00A707AA" w:rsidP="00395B34">
      <w:pPr>
        <w:pStyle w:val="NormalWeb"/>
        <w:spacing w:after="0"/>
        <w:jc w:val="both"/>
        <w:rPr>
          <w:rFonts w:ascii="Arial" w:hAnsi="Arial" w:cs="Arial"/>
          <w:sz w:val="20"/>
          <w:szCs w:val="20"/>
        </w:rPr>
      </w:pPr>
      <w:r w:rsidRPr="00395B34">
        <w:rPr>
          <w:rStyle w:val="lev"/>
          <w:rFonts w:ascii="Arial" w:hAnsi="Arial" w:cs="Arial"/>
          <w:b w:val="0"/>
          <w:sz w:val="20"/>
          <w:szCs w:val="20"/>
        </w:rPr>
        <w:t xml:space="preserve">Selon une récente </w:t>
      </w:r>
      <w:hyperlink r:id="rId8" w:history="1">
        <w:r w:rsidRPr="00395B34">
          <w:rPr>
            <w:rStyle w:val="Lienhypertexte"/>
            <w:rFonts w:ascii="Arial" w:hAnsi="Arial" w:cs="Arial"/>
            <w:b/>
            <w:bCs/>
            <w:color w:val="auto"/>
            <w:sz w:val="20"/>
            <w:szCs w:val="20"/>
            <w:u w:val="none"/>
          </w:rPr>
          <w:t>étude américaine</w:t>
        </w:r>
      </w:hyperlink>
      <w:r w:rsidRPr="00395B34">
        <w:rPr>
          <w:rStyle w:val="lev"/>
          <w:rFonts w:ascii="Arial" w:hAnsi="Arial" w:cs="Arial"/>
          <w:sz w:val="20"/>
          <w:szCs w:val="20"/>
        </w:rPr>
        <w:t xml:space="preserve">, le marché mondial de l’e-learning possède toujours de beaux jours devant lui, avec un CA estimé à 240 milliards de dollars à l’horizon 2024, soit une progression de 5% par rapport à 2017. </w:t>
      </w:r>
    </w:p>
    <w:p w:rsidR="00A707AA" w:rsidRPr="00395B34" w:rsidRDefault="00A707AA" w:rsidP="00395B34">
      <w:pPr>
        <w:pStyle w:val="NormalWeb"/>
        <w:spacing w:after="0"/>
        <w:jc w:val="both"/>
        <w:rPr>
          <w:rFonts w:ascii="Arial" w:hAnsi="Arial" w:cs="Arial"/>
          <w:sz w:val="20"/>
          <w:szCs w:val="20"/>
        </w:rPr>
      </w:pPr>
      <w:r w:rsidRPr="00395B34">
        <w:rPr>
          <w:rFonts w:ascii="Arial" w:hAnsi="Arial" w:cs="Arial"/>
          <w:sz w:val="20"/>
          <w:szCs w:val="20"/>
        </w:rPr>
        <w:t> </w:t>
      </w:r>
    </w:p>
    <w:p w:rsidR="00A707AA" w:rsidRPr="00285BA9" w:rsidRDefault="00A707AA" w:rsidP="00395B34">
      <w:pPr>
        <w:pStyle w:val="NormalWeb"/>
        <w:spacing w:after="0"/>
        <w:jc w:val="both"/>
        <w:rPr>
          <w:rFonts w:ascii="Arial" w:hAnsi="Arial" w:cs="Arial"/>
          <w:b/>
          <w:sz w:val="20"/>
          <w:szCs w:val="20"/>
        </w:rPr>
      </w:pPr>
      <w:r w:rsidRPr="00285BA9">
        <w:rPr>
          <w:rFonts w:ascii="Arial" w:hAnsi="Arial" w:cs="Arial"/>
          <w:b/>
          <w:sz w:val="20"/>
          <w:szCs w:val="20"/>
        </w:rPr>
        <w:t> </w:t>
      </w:r>
      <w:r w:rsidRPr="00285BA9">
        <w:rPr>
          <w:rStyle w:val="lev"/>
          <w:rFonts w:ascii="Arial" w:hAnsi="Arial" w:cs="Arial"/>
          <w:b w:val="0"/>
          <w:bCs w:val="0"/>
          <w:sz w:val="20"/>
          <w:szCs w:val="20"/>
        </w:rPr>
        <w:t>L’e-learning toujours bankable</w:t>
      </w:r>
    </w:p>
    <w:p w:rsidR="00A707AA" w:rsidRPr="00395B34" w:rsidRDefault="00A707AA" w:rsidP="00395B34">
      <w:pPr>
        <w:pStyle w:val="NormalWeb"/>
        <w:spacing w:after="0"/>
        <w:jc w:val="both"/>
        <w:rPr>
          <w:rFonts w:ascii="Arial" w:hAnsi="Arial" w:cs="Arial"/>
          <w:sz w:val="20"/>
          <w:szCs w:val="20"/>
        </w:rPr>
      </w:pPr>
      <w:r w:rsidRPr="00395B34">
        <w:rPr>
          <w:rFonts w:ascii="Arial" w:hAnsi="Arial" w:cs="Arial"/>
          <w:sz w:val="20"/>
          <w:szCs w:val="20"/>
        </w:rPr>
        <w:t> </w:t>
      </w:r>
    </w:p>
    <w:p w:rsidR="00A707AA" w:rsidRPr="00395B34" w:rsidRDefault="00A707AA" w:rsidP="00395B34">
      <w:pPr>
        <w:pStyle w:val="NormalWeb"/>
        <w:spacing w:after="0"/>
        <w:jc w:val="both"/>
        <w:rPr>
          <w:rFonts w:ascii="Arial" w:hAnsi="Arial" w:cs="Arial"/>
          <w:b/>
          <w:sz w:val="20"/>
          <w:szCs w:val="20"/>
        </w:rPr>
      </w:pPr>
      <w:r w:rsidRPr="00395B34">
        <w:rPr>
          <w:rFonts w:ascii="Arial" w:hAnsi="Arial" w:cs="Arial"/>
          <w:b/>
          <w:sz w:val="20"/>
          <w:szCs w:val="20"/>
        </w:rPr>
        <w:t xml:space="preserve">En 2016, le CA mondial de l’e-learning était estimé à 150 milliards de dollars. </w:t>
      </w:r>
      <w:r w:rsidRPr="00395B34">
        <w:rPr>
          <w:rFonts w:ascii="Arial" w:hAnsi="Arial" w:cs="Arial"/>
          <w:sz w:val="20"/>
          <w:szCs w:val="20"/>
        </w:rPr>
        <w:t xml:space="preserve">Sur ce total, l’éducation comptait pour plus de la moitié du CA, suivie par les grandes entreprises et les PME. </w:t>
      </w:r>
      <w:r w:rsidRPr="00395B34">
        <w:rPr>
          <w:rFonts w:ascii="Arial" w:hAnsi="Arial" w:cs="Arial"/>
          <w:b/>
          <w:sz w:val="20"/>
          <w:szCs w:val="20"/>
        </w:rPr>
        <w:t>En 2024, sur la base d’une croissance de 5% le CA de l’e-learning devrait atteindre les 240 milliards, avec les mêmes ordres de grandeurs, soit pour l’éducation près de 130 milliards de CA.</w:t>
      </w:r>
    </w:p>
    <w:p w:rsidR="00A707AA" w:rsidRPr="00395B34" w:rsidRDefault="00A707AA" w:rsidP="00395B34">
      <w:pPr>
        <w:pStyle w:val="NormalWeb"/>
        <w:spacing w:after="0"/>
        <w:jc w:val="both"/>
        <w:rPr>
          <w:rFonts w:ascii="Arial" w:hAnsi="Arial" w:cs="Arial"/>
          <w:sz w:val="20"/>
          <w:szCs w:val="20"/>
        </w:rPr>
      </w:pPr>
      <w:r w:rsidRPr="00395B34">
        <w:rPr>
          <w:rFonts w:ascii="Arial" w:hAnsi="Arial" w:cs="Arial"/>
          <w:sz w:val="20"/>
          <w:szCs w:val="20"/>
        </w:rPr>
        <w:t> </w:t>
      </w:r>
    </w:p>
    <w:p w:rsidR="00A707AA" w:rsidRPr="00395B34" w:rsidRDefault="00A707AA" w:rsidP="00395B34">
      <w:pPr>
        <w:pStyle w:val="NormalWeb"/>
        <w:spacing w:after="0"/>
        <w:jc w:val="both"/>
        <w:rPr>
          <w:rFonts w:ascii="Arial" w:hAnsi="Arial" w:cs="Arial"/>
          <w:sz w:val="20"/>
          <w:szCs w:val="20"/>
        </w:rPr>
      </w:pPr>
      <w:r w:rsidRPr="00395B34">
        <w:rPr>
          <w:rFonts w:ascii="Arial" w:hAnsi="Arial" w:cs="Arial"/>
          <w:sz w:val="20"/>
          <w:szCs w:val="20"/>
        </w:rPr>
        <w:t xml:space="preserve">Les solutions digitales les plus utilisées reposent sur l’e-learning, les plateformes LMS, le </w:t>
      </w:r>
      <w:hyperlink r:id="rId9" w:history="1">
        <w:r w:rsidRPr="00395B34">
          <w:rPr>
            <w:rStyle w:val="Lienhypertexte"/>
            <w:rFonts w:ascii="Arial" w:hAnsi="Arial" w:cs="Arial"/>
            <w:color w:val="auto"/>
            <w:sz w:val="20"/>
            <w:szCs w:val="20"/>
          </w:rPr>
          <w:t xml:space="preserve">mobile </w:t>
        </w:r>
        <w:proofErr w:type="spellStart"/>
        <w:r w:rsidRPr="00395B34">
          <w:rPr>
            <w:rStyle w:val="Lienhypertexte"/>
            <w:rFonts w:ascii="Arial" w:hAnsi="Arial" w:cs="Arial"/>
            <w:color w:val="auto"/>
            <w:sz w:val="20"/>
            <w:szCs w:val="20"/>
          </w:rPr>
          <w:t>learning</w:t>
        </w:r>
        <w:proofErr w:type="spellEnd"/>
      </w:hyperlink>
      <w:r w:rsidRPr="00395B34">
        <w:rPr>
          <w:rFonts w:ascii="Arial" w:hAnsi="Arial" w:cs="Arial"/>
          <w:sz w:val="20"/>
          <w:szCs w:val="20"/>
        </w:rPr>
        <w:t xml:space="preserve">, et le </w:t>
      </w:r>
      <w:proofErr w:type="spellStart"/>
      <w:r w:rsidRPr="00395B34">
        <w:rPr>
          <w:rFonts w:ascii="Arial" w:hAnsi="Arial" w:cs="Arial"/>
          <w:sz w:val="20"/>
          <w:szCs w:val="20"/>
        </w:rPr>
        <w:t>rapid</w:t>
      </w:r>
      <w:proofErr w:type="spellEnd"/>
      <w:r w:rsidRPr="00395B34">
        <w:rPr>
          <w:rFonts w:ascii="Arial" w:hAnsi="Arial" w:cs="Arial"/>
          <w:sz w:val="20"/>
          <w:szCs w:val="20"/>
        </w:rPr>
        <w:t xml:space="preserve"> </w:t>
      </w:r>
      <w:proofErr w:type="spellStart"/>
      <w:r w:rsidRPr="00395B34">
        <w:rPr>
          <w:rFonts w:ascii="Arial" w:hAnsi="Arial" w:cs="Arial"/>
          <w:sz w:val="20"/>
          <w:szCs w:val="20"/>
        </w:rPr>
        <w:t>learning</w:t>
      </w:r>
      <w:proofErr w:type="spellEnd"/>
      <w:r w:rsidRPr="00395B34">
        <w:rPr>
          <w:rFonts w:ascii="Arial" w:hAnsi="Arial" w:cs="Arial"/>
          <w:sz w:val="20"/>
          <w:szCs w:val="20"/>
        </w:rPr>
        <w:t xml:space="preserve"> (ou micro </w:t>
      </w:r>
      <w:proofErr w:type="spellStart"/>
      <w:r w:rsidRPr="00395B34">
        <w:rPr>
          <w:rFonts w:ascii="Arial" w:hAnsi="Arial" w:cs="Arial"/>
          <w:sz w:val="20"/>
          <w:szCs w:val="20"/>
        </w:rPr>
        <w:t>learning</w:t>
      </w:r>
      <w:proofErr w:type="spellEnd"/>
      <w:r w:rsidRPr="00395B34">
        <w:rPr>
          <w:rFonts w:ascii="Arial" w:hAnsi="Arial" w:cs="Arial"/>
          <w:sz w:val="20"/>
          <w:szCs w:val="20"/>
        </w:rPr>
        <w:t>). Le taux de pénétration de ces solutions est désormais très important aux États-Unis, avec 77% des sociétés offrant des formations en ligne à leurs employés.</w:t>
      </w:r>
    </w:p>
    <w:p w:rsidR="00A707AA" w:rsidRPr="00395B34" w:rsidRDefault="00A707AA" w:rsidP="00395B34">
      <w:pPr>
        <w:pStyle w:val="NormalWeb"/>
        <w:spacing w:after="0"/>
        <w:jc w:val="both"/>
        <w:rPr>
          <w:rFonts w:ascii="Arial" w:hAnsi="Arial" w:cs="Arial"/>
          <w:sz w:val="20"/>
          <w:szCs w:val="20"/>
        </w:rPr>
      </w:pPr>
      <w:r w:rsidRPr="00395B34">
        <w:rPr>
          <w:rFonts w:ascii="Arial" w:hAnsi="Arial" w:cs="Arial"/>
          <w:sz w:val="20"/>
          <w:szCs w:val="20"/>
        </w:rPr>
        <w:t> </w:t>
      </w:r>
    </w:p>
    <w:p w:rsidR="00A707AA" w:rsidRPr="00A6188F" w:rsidRDefault="00A6188F" w:rsidP="00A6188F">
      <w:pPr>
        <w:jc w:val="center"/>
        <w:rPr>
          <w:rFonts w:ascii="Arial" w:hAnsi="Arial" w:cs="Arial"/>
          <w:b/>
          <w:color w:val="0070C0"/>
          <w:sz w:val="20"/>
          <w:szCs w:val="20"/>
          <w:u w:val="single"/>
        </w:rPr>
      </w:pPr>
      <w:r w:rsidRPr="00A6188F">
        <w:rPr>
          <w:rFonts w:ascii="Arial" w:hAnsi="Arial" w:cs="Arial"/>
          <w:b/>
          <w:color w:val="0070C0"/>
          <w:sz w:val="20"/>
          <w:szCs w:val="20"/>
          <w:u w:val="single"/>
        </w:rPr>
        <w:t>Rappel</w:t>
      </w:r>
    </w:p>
    <w:p w:rsidR="00A6188F" w:rsidRDefault="00A6188F" w:rsidP="00395B34">
      <w:pPr>
        <w:jc w:val="both"/>
        <w:rPr>
          <w:rFonts w:ascii="Arial" w:hAnsi="Arial" w:cs="Arial"/>
          <w:b/>
          <w:sz w:val="20"/>
          <w:szCs w:val="20"/>
        </w:rPr>
      </w:pPr>
    </w:p>
    <w:p w:rsidR="00A6188F" w:rsidRPr="00A6188F" w:rsidRDefault="00A6188F" w:rsidP="00A6188F">
      <w:pPr>
        <w:jc w:val="both"/>
        <w:rPr>
          <w:rFonts w:ascii="Arial" w:hAnsi="Arial" w:cs="Arial"/>
          <w:i/>
          <w:sz w:val="20"/>
          <w:szCs w:val="20"/>
        </w:rPr>
      </w:pPr>
      <w:r w:rsidRPr="00A6188F">
        <w:rPr>
          <w:rFonts w:ascii="Arial" w:hAnsi="Arial" w:cs="Arial"/>
          <w:b/>
          <w:color w:val="0070C0"/>
          <w:sz w:val="20"/>
          <w:szCs w:val="20"/>
        </w:rPr>
        <w:t>Plein phares sur</w:t>
      </w:r>
      <w:r w:rsidRPr="00A6188F">
        <w:rPr>
          <w:rFonts w:ascii="Arial" w:hAnsi="Arial" w:cs="Arial"/>
          <w:color w:val="0070C0"/>
          <w:sz w:val="20"/>
          <w:szCs w:val="20"/>
        </w:rPr>
        <w:t xml:space="preserve"> </w:t>
      </w:r>
      <w:r w:rsidRPr="00A6188F">
        <w:rPr>
          <w:rFonts w:ascii="Arial" w:hAnsi="Arial" w:cs="Arial"/>
          <w:b/>
          <w:color w:val="0070C0"/>
          <w:sz w:val="20"/>
          <w:szCs w:val="20"/>
        </w:rPr>
        <w:t>la 8</w:t>
      </w:r>
      <w:r w:rsidRPr="00A6188F">
        <w:rPr>
          <w:rFonts w:ascii="Arial" w:hAnsi="Arial" w:cs="Arial"/>
          <w:b/>
          <w:color w:val="0070C0"/>
          <w:sz w:val="20"/>
          <w:szCs w:val="20"/>
          <w:vertAlign w:val="superscript"/>
        </w:rPr>
        <w:t>ème</w:t>
      </w:r>
      <w:r w:rsidRPr="00A6188F">
        <w:rPr>
          <w:rFonts w:ascii="Arial" w:hAnsi="Arial" w:cs="Arial"/>
          <w:b/>
          <w:color w:val="0070C0"/>
          <w:sz w:val="20"/>
          <w:szCs w:val="20"/>
        </w:rPr>
        <w:t xml:space="preserve"> Edition </w:t>
      </w:r>
      <w:r w:rsidRPr="00A6188F">
        <w:rPr>
          <w:rStyle w:val="lev"/>
          <w:rFonts w:ascii="Arial" w:hAnsi="Arial" w:cs="Arial"/>
          <w:color w:val="0070C0"/>
          <w:sz w:val="20"/>
          <w:szCs w:val="20"/>
        </w:rPr>
        <w:t xml:space="preserve">Région Auvergne Rhône Alpes </w:t>
      </w:r>
      <w:r w:rsidRPr="00A6188F">
        <w:rPr>
          <w:rFonts w:ascii="Arial" w:hAnsi="Arial" w:cs="Arial"/>
          <w:b/>
          <w:color w:val="0070C0"/>
          <w:sz w:val="20"/>
          <w:szCs w:val="20"/>
        </w:rPr>
        <w:t>des Salons Solutions Ressources Humaines</w:t>
      </w:r>
      <w:r w:rsidRPr="00A6188F">
        <w:rPr>
          <w:rFonts w:ascii="Arial" w:hAnsi="Arial" w:cs="Arial"/>
          <w:b/>
          <w:sz w:val="20"/>
          <w:szCs w:val="20"/>
        </w:rPr>
        <w:t xml:space="preserve"> </w:t>
      </w:r>
      <w:r w:rsidRPr="00A6188F">
        <w:rPr>
          <w:rFonts w:ascii="Arial" w:hAnsi="Arial" w:cs="Arial"/>
          <w:i/>
          <w:sz w:val="20"/>
          <w:szCs w:val="20"/>
        </w:rPr>
        <w:t>(le Salon des outils et Services dédiés aux dirigeants d’entreprises, aux responsables des Ressources Humaines, de la Formation et des Systèmes d’Information)</w:t>
      </w:r>
      <w:r w:rsidRPr="00A6188F">
        <w:rPr>
          <w:rFonts w:ascii="Arial" w:hAnsi="Arial" w:cs="Arial"/>
          <w:sz w:val="20"/>
          <w:szCs w:val="20"/>
        </w:rPr>
        <w:t xml:space="preserve">, </w:t>
      </w:r>
      <w:proofErr w:type="spellStart"/>
      <w:r w:rsidRPr="00A6188F">
        <w:rPr>
          <w:rFonts w:ascii="Arial" w:hAnsi="Arial" w:cs="Arial"/>
          <w:b/>
          <w:color w:val="0070C0"/>
          <w:sz w:val="20"/>
          <w:szCs w:val="20"/>
        </w:rPr>
        <w:t>eLearning</w:t>
      </w:r>
      <w:proofErr w:type="spellEnd"/>
      <w:r w:rsidRPr="00A6188F">
        <w:rPr>
          <w:rFonts w:ascii="Arial" w:hAnsi="Arial" w:cs="Arial"/>
          <w:b/>
          <w:color w:val="0070C0"/>
          <w:sz w:val="20"/>
          <w:szCs w:val="20"/>
        </w:rPr>
        <w:t xml:space="preserve"> Expo </w:t>
      </w:r>
      <w:r w:rsidRPr="00A6188F">
        <w:rPr>
          <w:rFonts w:ascii="Arial" w:hAnsi="Arial" w:cs="Arial"/>
          <w:i/>
          <w:sz w:val="20"/>
          <w:szCs w:val="20"/>
        </w:rPr>
        <w:t xml:space="preserve">(le rendez-vous des entreprises et des fournisseurs </w:t>
      </w:r>
      <w:r w:rsidRPr="00A6188F">
        <w:rPr>
          <w:rFonts w:ascii="Arial" w:hAnsi="Arial" w:cs="Arial"/>
          <w:i/>
          <w:color w:val="000000"/>
          <w:sz w:val="20"/>
          <w:szCs w:val="20"/>
        </w:rPr>
        <w:t xml:space="preserve">en matière de </w:t>
      </w:r>
      <w:proofErr w:type="spellStart"/>
      <w:r w:rsidRPr="00A6188F">
        <w:rPr>
          <w:rFonts w:ascii="Arial" w:hAnsi="Arial" w:cs="Arial"/>
          <w:i/>
          <w:color w:val="000000"/>
          <w:sz w:val="20"/>
          <w:szCs w:val="20"/>
        </w:rPr>
        <w:t>elearning</w:t>
      </w:r>
      <w:proofErr w:type="spellEnd"/>
      <w:r w:rsidRPr="00A6188F">
        <w:rPr>
          <w:rFonts w:ascii="Arial" w:hAnsi="Arial" w:cs="Arial"/>
          <w:i/>
          <w:color w:val="000000"/>
          <w:sz w:val="20"/>
          <w:szCs w:val="20"/>
        </w:rPr>
        <w:t>, de formation et de Digital Learning en France</w:t>
      </w:r>
      <w:r w:rsidRPr="00A6188F">
        <w:rPr>
          <w:rFonts w:ascii="Arial" w:hAnsi="Arial" w:cs="Arial"/>
          <w:b/>
          <w:sz w:val="20"/>
          <w:szCs w:val="20"/>
        </w:rPr>
        <w:t xml:space="preserve"> </w:t>
      </w:r>
      <w:r w:rsidRPr="00A6188F">
        <w:rPr>
          <w:rFonts w:ascii="Arial" w:hAnsi="Arial" w:cs="Arial"/>
          <w:b/>
          <w:color w:val="0070C0"/>
          <w:sz w:val="20"/>
          <w:szCs w:val="20"/>
        </w:rPr>
        <w:t>et la 2</w:t>
      </w:r>
      <w:r w:rsidRPr="00A6188F">
        <w:rPr>
          <w:rFonts w:ascii="Arial" w:hAnsi="Arial" w:cs="Arial"/>
          <w:b/>
          <w:color w:val="0070C0"/>
          <w:sz w:val="20"/>
          <w:szCs w:val="20"/>
          <w:vertAlign w:val="superscript"/>
        </w:rPr>
        <w:t>ème</w:t>
      </w:r>
      <w:r w:rsidRPr="00A6188F">
        <w:rPr>
          <w:rFonts w:ascii="Arial" w:hAnsi="Arial" w:cs="Arial"/>
          <w:b/>
          <w:color w:val="0070C0"/>
          <w:sz w:val="20"/>
          <w:szCs w:val="20"/>
        </w:rPr>
        <w:t xml:space="preserve"> </w:t>
      </w:r>
      <w:proofErr w:type="gramStart"/>
      <w:r w:rsidRPr="00A6188F">
        <w:rPr>
          <w:rFonts w:ascii="Arial" w:hAnsi="Arial" w:cs="Arial"/>
          <w:b/>
          <w:color w:val="0070C0"/>
          <w:sz w:val="20"/>
          <w:szCs w:val="20"/>
        </w:rPr>
        <w:t xml:space="preserve">Edition </w:t>
      </w:r>
      <w:r w:rsidRPr="00A6188F">
        <w:rPr>
          <w:rFonts w:ascii="Arial" w:hAnsi="Arial" w:cs="Arial"/>
          <w:color w:val="0070C0"/>
          <w:sz w:val="20"/>
          <w:szCs w:val="20"/>
        </w:rPr>
        <w:t xml:space="preserve"> </w:t>
      </w:r>
      <w:r w:rsidRPr="00A6188F">
        <w:rPr>
          <w:rFonts w:ascii="Arial" w:hAnsi="Arial" w:cs="Arial"/>
          <w:sz w:val="20"/>
          <w:szCs w:val="20"/>
        </w:rPr>
        <w:t>(</w:t>
      </w:r>
      <w:proofErr w:type="gramEnd"/>
      <w:r w:rsidRPr="00A6188F">
        <w:rPr>
          <w:rFonts w:ascii="Arial" w:hAnsi="Arial" w:cs="Arial"/>
          <w:sz w:val="20"/>
          <w:szCs w:val="20"/>
        </w:rPr>
        <w:t>Conférences/Exposition)</w:t>
      </w:r>
      <w:r w:rsidRPr="00A6188F">
        <w:rPr>
          <w:rFonts w:ascii="Arial" w:hAnsi="Arial" w:cs="Arial"/>
          <w:i/>
          <w:sz w:val="20"/>
          <w:szCs w:val="20"/>
        </w:rPr>
        <w:t> </w:t>
      </w:r>
      <w:r w:rsidRPr="00A6188F">
        <w:rPr>
          <w:rFonts w:ascii="Arial" w:hAnsi="Arial" w:cs="Arial"/>
          <w:sz w:val="20"/>
          <w:szCs w:val="20"/>
        </w:rPr>
        <w:t>:</w:t>
      </w:r>
      <w:r w:rsidRPr="00A6188F">
        <w:rPr>
          <w:rFonts w:ascii="Arial" w:hAnsi="Arial" w:cs="Arial"/>
          <w:b/>
          <w:color w:val="0070C0"/>
          <w:sz w:val="20"/>
          <w:szCs w:val="20"/>
        </w:rPr>
        <w:t>des Salons Solutions</w:t>
      </w:r>
      <w:r w:rsidRPr="00A6188F">
        <w:rPr>
          <w:rFonts w:ascii="Arial" w:hAnsi="Arial" w:cs="Arial"/>
          <w:color w:val="0070C0"/>
          <w:sz w:val="20"/>
          <w:szCs w:val="20"/>
        </w:rPr>
        <w:t xml:space="preserve"> </w:t>
      </w:r>
      <w:bookmarkStart w:id="0" w:name="_GoBack"/>
      <w:r w:rsidRPr="00A6188F">
        <w:rPr>
          <w:rFonts w:ascii="Arial" w:hAnsi="Arial" w:cs="Arial"/>
          <w:i/>
          <w:sz w:val="20"/>
          <w:szCs w:val="20"/>
        </w:rPr>
        <w:t>( ERP – DEMAT – CRM et BI ….).</w:t>
      </w:r>
    </w:p>
    <w:bookmarkEnd w:id="0"/>
    <w:p w:rsidR="00A6188F" w:rsidRPr="00A6188F" w:rsidRDefault="00A6188F" w:rsidP="00A6188F">
      <w:pPr>
        <w:autoSpaceDE w:val="0"/>
        <w:autoSpaceDN w:val="0"/>
        <w:adjustRightInd w:val="0"/>
        <w:jc w:val="both"/>
        <w:rPr>
          <w:rFonts w:ascii="Arial" w:hAnsi="Arial" w:cs="Arial"/>
          <w:b/>
          <w:sz w:val="20"/>
          <w:szCs w:val="20"/>
        </w:rPr>
      </w:pPr>
    </w:p>
    <w:p w:rsidR="00A6188F" w:rsidRPr="00A6188F" w:rsidRDefault="00A6188F" w:rsidP="00A6188F">
      <w:pPr>
        <w:autoSpaceDE w:val="0"/>
        <w:autoSpaceDN w:val="0"/>
        <w:adjustRightInd w:val="0"/>
        <w:jc w:val="both"/>
        <w:rPr>
          <w:rFonts w:ascii="Arial" w:hAnsi="Arial" w:cs="Arial"/>
          <w:b/>
          <w:color w:val="0070C0"/>
          <w:sz w:val="20"/>
          <w:szCs w:val="20"/>
        </w:rPr>
      </w:pPr>
      <w:r w:rsidRPr="00A6188F">
        <w:rPr>
          <w:rFonts w:ascii="Arial" w:hAnsi="Arial" w:cs="Arial"/>
          <w:b/>
          <w:sz w:val="20"/>
          <w:szCs w:val="20"/>
        </w:rPr>
        <w:t xml:space="preserve">Synergie gagnante pour ces 2 manifestations qui réuniront </w:t>
      </w:r>
      <w:r w:rsidRPr="00A6188F">
        <w:rPr>
          <w:rFonts w:ascii="Arial" w:hAnsi="Arial" w:cs="Arial"/>
          <w:b/>
          <w:color w:val="0070C0"/>
          <w:sz w:val="20"/>
          <w:szCs w:val="20"/>
        </w:rPr>
        <w:t>90 sociétés exposantes, 1 800 visiteurs professionnels et 2 100 participations aux conférences.</w:t>
      </w:r>
    </w:p>
    <w:p w:rsidR="00A6188F" w:rsidRPr="00A6188F" w:rsidRDefault="00A6188F" w:rsidP="00A6188F">
      <w:pPr>
        <w:autoSpaceDE w:val="0"/>
        <w:autoSpaceDN w:val="0"/>
        <w:adjustRightInd w:val="0"/>
        <w:jc w:val="both"/>
        <w:rPr>
          <w:rFonts w:ascii="Arial" w:hAnsi="Arial" w:cs="Arial"/>
          <w:b/>
          <w:color w:val="0070C0"/>
          <w:sz w:val="20"/>
          <w:szCs w:val="20"/>
        </w:rPr>
      </w:pPr>
    </w:p>
    <w:p w:rsidR="00A6188F" w:rsidRPr="00A6188F" w:rsidRDefault="00A6188F" w:rsidP="00A6188F">
      <w:pPr>
        <w:autoSpaceDE w:val="0"/>
        <w:autoSpaceDN w:val="0"/>
        <w:adjustRightInd w:val="0"/>
        <w:jc w:val="both"/>
        <w:rPr>
          <w:rFonts w:ascii="Arial" w:hAnsi="Arial" w:cs="Arial"/>
          <w:iCs/>
          <w:sz w:val="20"/>
          <w:szCs w:val="20"/>
        </w:rPr>
      </w:pPr>
      <w:r w:rsidRPr="00A6188F">
        <w:rPr>
          <w:rFonts w:ascii="Arial" w:hAnsi="Arial" w:cs="Arial"/>
          <w:sz w:val="20"/>
          <w:szCs w:val="20"/>
        </w:rPr>
        <w:t>Durant 1 jour ½,</w:t>
      </w:r>
      <w:r w:rsidRPr="00A6188F">
        <w:rPr>
          <w:rFonts w:ascii="Arial" w:hAnsi="Arial" w:cs="Arial"/>
          <w:b/>
          <w:sz w:val="20"/>
          <w:szCs w:val="20"/>
        </w:rPr>
        <w:t xml:space="preserve"> </w:t>
      </w:r>
      <w:r w:rsidRPr="00A6188F">
        <w:rPr>
          <w:rFonts w:ascii="Arial" w:hAnsi="Arial" w:cs="Arial"/>
          <w:b/>
          <w:color w:val="0070C0"/>
          <w:sz w:val="20"/>
          <w:szCs w:val="20"/>
        </w:rPr>
        <w:t xml:space="preserve">seront abordés tous les sujets d’actualités </w:t>
      </w:r>
      <w:r w:rsidRPr="00A6188F">
        <w:rPr>
          <w:rFonts w:ascii="Arial" w:hAnsi="Arial" w:cs="Arial"/>
          <w:b/>
          <w:sz w:val="20"/>
          <w:szCs w:val="20"/>
        </w:rPr>
        <w:t xml:space="preserve">du moment </w:t>
      </w:r>
      <w:r w:rsidRPr="00A6188F">
        <w:rPr>
          <w:rFonts w:ascii="Arial" w:hAnsi="Arial" w:cs="Arial"/>
          <w:b/>
          <w:color w:val="0070C0"/>
          <w:sz w:val="20"/>
          <w:szCs w:val="20"/>
        </w:rPr>
        <w:t xml:space="preserve">et </w:t>
      </w:r>
      <w:r w:rsidRPr="00A6188F">
        <w:rPr>
          <w:rFonts w:ascii="Arial" w:hAnsi="Arial" w:cs="Arial"/>
          <w:b/>
          <w:iCs/>
          <w:color w:val="0070C0"/>
          <w:sz w:val="20"/>
          <w:szCs w:val="20"/>
        </w:rPr>
        <w:t xml:space="preserve">couverts tous les champs pour une meilleure gestion des Ressources Humaines </w:t>
      </w:r>
      <w:r w:rsidRPr="00A6188F">
        <w:rPr>
          <w:rFonts w:ascii="Arial" w:hAnsi="Arial" w:cs="Arial"/>
          <w:iCs/>
          <w:sz w:val="20"/>
          <w:szCs w:val="20"/>
        </w:rPr>
        <w:t xml:space="preserve">que ce soit dans TPE, une PME, une grande entreprise, une collectivité : </w:t>
      </w:r>
    </w:p>
    <w:p w:rsidR="00A6188F" w:rsidRPr="00A6188F" w:rsidRDefault="00A6188F" w:rsidP="00A6188F">
      <w:pPr>
        <w:autoSpaceDE w:val="0"/>
        <w:autoSpaceDN w:val="0"/>
        <w:adjustRightInd w:val="0"/>
        <w:jc w:val="both"/>
        <w:rPr>
          <w:rFonts w:ascii="Arial" w:hAnsi="Arial" w:cs="Arial"/>
          <w:b/>
          <w:iCs/>
          <w:sz w:val="20"/>
          <w:szCs w:val="20"/>
        </w:rPr>
      </w:pPr>
    </w:p>
    <w:p w:rsidR="00A6188F" w:rsidRPr="00A6188F" w:rsidRDefault="00A6188F" w:rsidP="00A6188F">
      <w:pPr>
        <w:pStyle w:val="Paragraphedeliste"/>
        <w:numPr>
          <w:ilvl w:val="0"/>
          <w:numId w:val="2"/>
        </w:numPr>
        <w:autoSpaceDE w:val="0"/>
        <w:autoSpaceDN w:val="0"/>
        <w:adjustRightInd w:val="0"/>
        <w:spacing w:after="0" w:line="240" w:lineRule="auto"/>
        <w:ind w:left="0" w:firstLine="0"/>
        <w:jc w:val="both"/>
        <w:rPr>
          <w:rFonts w:ascii="Arial" w:hAnsi="Arial" w:cs="Arial"/>
          <w:b/>
          <w:bCs/>
          <w:sz w:val="20"/>
          <w:szCs w:val="20"/>
        </w:rPr>
      </w:pPr>
      <w:r w:rsidRPr="00A6188F">
        <w:rPr>
          <w:rFonts w:ascii="Arial" w:hAnsi="Arial" w:cs="Arial"/>
          <w:b/>
          <w:bCs/>
          <w:sz w:val="20"/>
          <w:szCs w:val="20"/>
        </w:rPr>
        <w:t>.</w:t>
      </w:r>
      <w:r w:rsidRPr="00A6188F">
        <w:rPr>
          <w:rFonts w:ascii="Arial" w:hAnsi="Arial" w:cs="Arial"/>
          <w:b/>
          <w:bCs/>
          <w:color w:val="0070C0"/>
          <w:sz w:val="20"/>
          <w:szCs w:val="20"/>
        </w:rPr>
        <w:t xml:space="preserve">5 grands domaines : </w:t>
      </w:r>
      <w:r w:rsidRPr="00A6188F">
        <w:rPr>
          <w:rFonts w:ascii="Arial" w:hAnsi="Arial" w:cs="Arial"/>
          <w:b/>
          <w:bCs/>
          <w:sz w:val="20"/>
          <w:szCs w:val="20"/>
        </w:rPr>
        <w:t xml:space="preserve">Les SIRH – La gestion informatique des RH - La protection sociale et la prévoyance - La gestion des talents et de la performance - La Formation et le </w:t>
      </w:r>
      <w:proofErr w:type="spellStart"/>
      <w:r w:rsidRPr="00A6188F">
        <w:rPr>
          <w:rFonts w:ascii="Arial" w:hAnsi="Arial" w:cs="Arial"/>
          <w:b/>
          <w:bCs/>
          <w:sz w:val="20"/>
          <w:szCs w:val="20"/>
        </w:rPr>
        <w:t>eLearning</w:t>
      </w:r>
      <w:proofErr w:type="spellEnd"/>
    </w:p>
    <w:p w:rsidR="00A6188F" w:rsidRPr="00A6188F" w:rsidRDefault="00A6188F" w:rsidP="00A6188F">
      <w:pPr>
        <w:pStyle w:val="Paragraphedeliste"/>
        <w:autoSpaceDE w:val="0"/>
        <w:autoSpaceDN w:val="0"/>
        <w:adjustRightInd w:val="0"/>
        <w:spacing w:after="0" w:line="240" w:lineRule="auto"/>
        <w:ind w:left="0"/>
        <w:jc w:val="both"/>
        <w:rPr>
          <w:rFonts w:ascii="Arial" w:hAnsi="Arial" w:cs="Arial"/>
          <w:b/>
          <w:bCs/>
          <w:color w:val="272627"/>
          <w:sz w:val="20"/>
          <w:szCs w:val="20"/>
        </w:rPr>
      </w:pPr>
    </w:p>
    <w:p w:rsidR="00A6188F" w:rsidRPr="00A6188F" w:rsidRDefault="00A6188F" w:rsidP="00A6188F">
      <w:pPr>
        <w:pStyle w:val="Paragraphedeliste"/>
        <w:numPr>
          <w:ilvl w:val="0"/>
          <w:numId w:val="2"/>
        </w:numPr>
        <w:autoSpaceDE w:val="0"/>
        <w:autoSpaceDN w:val="0"/>
        <w:adjustRightInd w:val="0"/>
        <w:spacing w:after="0" w:line="240" w:lineRule="auto"/>
        <w:ind w:left="0" w:firstLine="0"/>
        <w:jc w:val="both"/>
        <w:rPr>
          <w:rFonts w:ascii="Arial" w:hAnsi="Arial" w:cs="Arial"/>
          <w:b/>
          <w:iCs/>
          <w:color w:val="0070C0"/>
          <w:sz w:val="20"/>
          <w:szCs w:val="20"/>
        </w:rPr>
      </w:pPr>
      <w:r w:rsidRPr="00A6188F">
        <w:rPr>
          <w:rFonts w:ascii="Arial" w:hAnsi="Arial" w:cs="Arial"/>
          <w:b/>
          <w:sz w:val="20"/>
          <w:szCs w:val="20"/>
        </w:rPr>
        <w:t>Toutes les technologies indissociables et composantes clefs pour accompagner au mieux la DRH</w:t>
      </w:r>
      <w:r w:rsidRPr="00A6188F">
        <w:rPr>
          <w:rFonts w:ascii="Arial" w:hAnsi="Arial" w:cs="Arial"/>
          <w:sz w:val="20"/>
          <w:szCs w:val="20"/>
        </w:rPr>
        <w:t xml:space="preserve"> dans la réalisation de ses enjeux et de l’évolution de son rôle </w:t>
      </w:r>
      <w:r w:rsidRPr="00A6188F">
        <w:rPr>
          <w:rFonts w:ascii="Arial" w:hAnsi="Arial" w:cs="Arial"/>
          <w:b/>
          <w:iCs/>
          <w:sz w:val="20"/>
          <w:szCs w:val="20"/>
        </w:rPr>
        <w:t xml:space="preserve">: </w:t>
      </w:r>
      <w:r w:rsidRPr="00A6188F">
        <w:rPr>
          <w:rFonts w:ascii="Arial" w:hAnsi="Arial" w:cs="Arial"/>
          <w:b/>
          <w:color w:val="0070C0"/>
          <w:sz w:val="20"/>
          <w:szCs w:val="20"/>
        </w:rPr>
        <w:t>l’IA, la digitalisation de l’entreprise, le CRM, la Dématérialisation, les e-achats et la BI...</w:t>
      </w:r>
    </w:p>
    <w:p w:rsidR="00A6188F" w:rsidRPr="00A6188F" w:rsidRDefault="00A6188F" w:rsidP="00A6188F">
      <w:pPr>
        <w:autoSpaceDE w:val="0"/>
        <w:autoSpaceDN w:val="0"/>
        <w:adjustRightInd w:val="0"/>
        <w:jc w:val="both"/>
        <w:rPr>
          <w:rFonts w:ascii="Arial" w:hAnsi="Arial" w:cs="Arial"/>
          <w:b/>
          <w:sz w:val="20"/>
          <w:szCs w:val="20"/>
        </w:rPr>
      </w:pPr>
    </w:p>
    <w:p w:rsidR="00A6188F" w:rsidRPr="00A6188F" w:rsidRDefault="00A6188F" w:rsidP="00A6188F">
      <w:pPr>
        <w:jc w:val="both"/>
        <w:rPr>
          <w:rFonts w:ascii="Arial" w:hAnsi="Arial" w:cs="Arial"/>
          <w:b/>
          <w:sz w:val="20"/>
          <w:szCs w:val="20"/>
        </w:rPr>
      </w:pPr>
      <w:r w:rsidRPr="00A6188F">
        <w:rPr>
          <w:rFonts w:ascii="Arial" w:hAnsi="Arial" w:cs="Arial"/>
          <w:sz w:val="20"/>
          <w:szCs w:val="20"/>
        </w:rPr>
        <w:t xml:space="preserve">Parallèlement à l’exposition, </w:t>
      </w:r>
      <w:r w:rsidRPr="00A6188F">
        <w:rPr>
          <w:rFonts w:ascii="Arial" w:hAnsi="Arial" w:cs="Arial"/>
          <w:b/>
          <w:color w:val="0070C0"/>
          <w:sz w:val="20"/>
          <w:szCs w:val="20"/>
        </w:rPr>
        <w:t>2 100 participations aux conférences,</w:t>
      </w:r>
      <w:r w:rsidRPr="00A6188F">
        <w:rPr>
          <w:rFonts w:ascii="Arial" w:hAnsi="Arial" w:cs="Arial"/>
          <w:b/>
          <w:iCs/>
          <w:color w:val="0070C0"/>
          <w:sz w:val="20"/>
          <w:szCs w:val="20"/>
        </w:rPr>
        <w:t xml:space="preserve"> avis d’experts, bonnes pratiques, cartes blanches</w:t>
      </w:r>
      <w:r w:rsidRPr="00A6188F">
        <w:rPr>
          <w:rFonts w:ascii="Arial" w:hAnsi="Arial" w:cs="Arial"/>
          <w:b/>
          <w:color w:val="0070C0"/>
          <w:sz w:val="20"/>
          <w:szCs w:val="20"/>
        </w:rPr>
        <w:t xml:space="preserve"> et ateliers exposants</w:t>
      </w:r>
      <w:r w:rsidRPr="00A6188F">
        <w:rPr>
          <w:rFonts w:ascii="Arial" w:hAnsi="Arial" w:cs="Arial"/>
          <w:color w:val="0070C0"/>
          <w:sz w:val="20"/>
          <w:szCs w:val="20"/>
        </w:rPr>
        <w:t xml:space="preserve"> </w:t>
      </w:r>
      <w:r w:rsidRPr="00A6188F">
        <w:rPr>
          <w:rFonts w:ascii="Arial" w:hAnsi="Arial" w:cs="Arial"/>
          <w:b/>
          <w:sz w:val="20"/>
          <w:szCs w:val="20"/>
        </w:rPr>
        <w:t>dont les sujets seront calés sur l’actualité du moment.</w:t>
      </w:r>
    </w:p>
    <w:p w:rsidR="00A6188F" w:rsidRPr="00A6188F" w:rsidRDefault="00A6188F" w:rsidP="00A6188F">
      <w:pPr>
        <w:autoSpaceDE w:val="0"/>
        <w:autoSpaceDN w:val="0"/>
        <w:adjustRightInd w:val="0"/>
        <w:jc w:val="both"/>
        <w:rPr>
          <w:rFonts w:ascii="Arial" w:hAnsi="Arial" w:cs="Arial"/>
          <w:b/>
          <w:sz w:val="20"/>
          <w:szCs w:val="20"/>
        </w:rPr>
      </w:pPr>
    </w:p>
    <w:p w:rsidR="00A6188F" w:rsidRPr="00A6188F" w:rsidRDefault="00A6188F" w:rsidP="00A6188F">
      <w:pPr>
        <w:autoSpaceDE w:val="0"/>
        <w:autoSpaceDN w:val="0"/>
        <w:adjustRightInd w:val="0"/>
        <w:jc w:val="both"/>
        <w:rPr>
          <w:rFonts w:ascii="Arial" w:hAnsi="Arial" w:cs="Arial"/>
          <w:b/>
          <w:sz w:val="20"/>
          <w:szCs w:val="20"/>
        </w:rPr>
      </w:pPr>
      <w:r w:rsidRPr="00A6188F">
        <w:rPr>
          <w:rFonts w:ascii="Arial" w:hAnsi="Arial" w:cs="Arial"/>
          <w:b/>
          <w:sz w:val="20"/>
          <w:szCs w:val="20"/>
        </w:rPr>
        <w:t xml:space="preserve">Pour plus d’informations : </w:t>
      </w:r>
      <w:r w:rsidRPr="00A6188F">
        <w:rPr>
          <w:rFonts w:ascii="Arial" w:hAnsi="Arial" w:cs="Arial"/>
          <w:b/>
          <w:sz w:val="20"/>
          <w:szCs w:val="20"/>
        </w:rPr>
        <w:tab/>
        <w:t>Régis de CERVAL/Florence de COURTENAY</w:t>
      </w:r>
      <w:r w:rsidRPr="00A6188F">
        <w:rPr>
          <w:rFonts w:ascii="Arial" w:hAnsi="Arial" w:cs="Arial"/>
          <w:b/>
          <w:sz w:val="20"/>
          <w:szCs w:val="20"/>
        </w:rPr>
        <w:tab/>
        <w:t>- Tél. 01 44 39 85 00</w:t>
      </w:r>
    </w:p>
    <w:p w:rsidR="00A6188F" w:rsidRPr="00A6188F" w:rsidRDefault="00A6188F" w:rsidP="00A6188F">
      <w:pPr>
        <w:autoSpaceDE w:val="0"/>
        <w:autoSpaceDN w:val="0"/>
        <w:adjustRightInd w:val="0"/>
        <w:jc w:val="both"/>
        <w:rPr>
          <w:rFonts w:ascii="Arial" w:hAnsi="Arial" w:cs="Arial"/>
          <w:b/>
          <w:sz w:val="20"/>
          <w:szCs w:val="20"/>
          <w:lang w:val="en-US"/>
        </w:rPr>
      </w:pPr>
      <w:hyperlink r:id="rId10" w:history="1">
        <w:r w:rsidRPr="00A6188F">
          <w:rPr>
            <w:rStyle w:val="Lienhypertexte"/>
            <w:rFonts w:ascii="Arial" w:hAnsi="Arial" w:cs="Arial"/>
            <w:sz w:val="20"/>
            <w:szCs w:val="20"/>
          </w:rPr>
          <w:t>r.cerval@infoexpo.fr</w:t>
        </w:r>
      </w:hyperlink>
      <w:r w:rsidRPr="00A6188F">
        <w:rPr>
          <w:rFonts w:ascii="Arial" w:hAnsi="Arial" w:cs="Arial"/>
          <w:b/>
          <w:sz w:val="20"/>
          <w:szCs w:val="20"/>
        </w:rPr>
        <w:t>/</w:t>
      </w:r>
      <w:hyperlink r:id="rId11" w:history="1">
        <w:r w:rsidRPr="00A6188F">
          <w:rPr>
            <w:rStyle w:val="Lienhypertexte"/>
            <w:rFonts w:ascii="Arial" w:hAnsi="Arial" w:cs="Arial"/>
            <w:sz w:val="20"/>
            <w:szCs w:val="20"/>
          </w:rPr>
          <w:t>f.courtenay@infoexpo.fr</w:t>
        </w:r>
      </w:hyperlink>
    </w:p>
    <w:p w:rsidR="00A6188F" w:rsidRPr="00A6188F" w:rsidRDefault="00A6188F" w:rsidP="00A6188F">
      <w:pPr>
        <w:autoSpaceDE w:val="0"/>
        <w:autoSpaceDN w:val="0"/>
        <w:adjustRightInd w:val="0"/>
        <w:jc w:val="both"/>
        <w:rPr>
          <w:rFonts w:ascii="Arial" w:hAnsi="Arial" w:cs="Arial"/>
          <w:b/>
          <w:bCs/>
          <w:sz w:val="20"/>
          <w:szCs w:val="20"/>
        </w:rPr>
      </w:pPr>
    </w:p>
    <w:p w:rsidR="00A6188F" w:rsidRPr="00A6188F" w:rsidRDefault="00A6188F" w:rsidP="00A6188F">
      <w:pPr>
        <w:autoSpaceDE w:val="0"/>
        <w:autoSpaceDN w:val="0"/>
        <w:adjustRightInd w:val="0"/>
        <w:jc w:val="both"/>
        <w:rPr>
          <w:rFonts w:ascii="Arial" w:hAnsi="Arial" w:cs="Arial"/>
          <w:b/>
          <w:sz w:val="20"/>
          <w:szCs w:val="20"/>
          <w:lang w:val="en-US"/>
        </w:rPr>
      </w:pPr>
      <w:r w:rsidRPr="00A6188F">
        <w:rPr>
          <w:rFonts w:ascii="Arial" w:hAnsi="Arial" w:cs="Arial"/>
          <w:b/>
          <w:bCs/>
          <w:sz w:val="20"/>
          <w:szCs w:val="20"/>
        </w:rPr>
        <w:t xml:space="preserve">Conférences Salon RH : </w:t>
      </w:r>
      <w:r w:rsidRPr="00A6188F">
        <w:rPr>
          <w:rFonts w:ascii="Arial" w:hAnsi="Arial" w:cs="Arial"/>
          <w:b/>
          <w:bCs/>
          <w:sz w:val="20"/>
          <w:szCs w:val="20"/>
        </w:rPr>
        <w:tab/>
      </w:r>
      <w:r w:rsidRPr="00A6188F">
        <w:rPr>
          <w:rFonts w:ascii="Arial" w:hAnsi="Arial" w:cs="Arial"/>
          <w:b/>
          <w:bCs/>
          <w:sz w:val="20"/>
          <w:szCs w:val="20"/>
        </w:rPr>
        <w:tab/>
        <w:t xml:space="preserve">Norbert MOUYAL </w:t>
      </w:r>
      <w:r w:rsidRPr="00A6188F">
        <w:rPr>
          <w:rFonts w:ascii="Arial" w:hAnsi="Arial" w:cs="Arial"/>
          <w:b/>
          <w:bCs/>
          <w:sz w:val="20"/>
          <w:szCs w:val="20"/>
        </w:rPr>
        <w:tab/>
      </w:r>
      <w:r w:rsidRPr="00A6188F">
        <w:rPr>
          <w:rFonts w:ascii="Arial" w:hAnsi="Arial" w:cs="Arial"/>
          <w:b/>
          <w:bCs/>
          <w:sz w:val="20"/>
          <w:szCs w:val="20"/>
        </w:rPr>
        <w:tab/>
      </w:r>
      <w:r w:rsidRPr="00A6188F">
        <w:rPr>
          <w:rFonts w:ascii="Arial" w:hAnsi="Arial" w:cs="Arial"/>
          <w:b/>
          <w:bCs/>
          <w:sz w:val="20"/>
          <w:szCs w:val="20"/>
        </w:rPr>
        <w:tab/>
        <w:t>- Tél. 06 71 27 79 43</w:t>
      </w:r>
    </w:p>
    <w:p w:rsidR="00A6188F" w:rsidRPr="00A6188F" w:rsidRDefault="00A6188F" w:rsidP="00A6188F">
      <w:pPr>
        <w:autoSpaceDE w:val="0"/>
        <w:autoSpaceDN w:val="0"/>
        <w:adjustRightInd w:val="0"/>
        <w:ind w:left="2124" w:firstLine="708"/>
        <w:jc w:val="both"/>
        <w:rPr>
          <w:rStyle w:val="Lienhypertexte"/>
          <w:rFonts w:ascii="Arial" w:hAnsi="Arial" w:cs="Arial"/>
          <w:b/>
          <w:sz w:val="20"/>
          <w:szCs w:val="20"/>
        </w:rPr>
      </w:pPr>
      <w:hyperlink r:id="rId12" w:history="1">
        <w:r w:rsidRPr="00A6188F">
          <w:rPr>
            <w:rStyle w:val="Lienhypertexte"/>
            <w:rFonts w:ascii="Arial" w:hAnsi="Arial" w:cs="Arial"/>
            <w:sz w:val="20"/>
            <w:szCs w:val="20"/>
          </w:rPr>
          <w:t>mouyalnorbert@gmail.com</w:t>
        </w:r>
      </w:hyperlink>
    </w:p>
    <w:p w:rsidR="00A6188F" w:rsidRPr="00A6188F" w:rsidRDefault="00A6188F" w:rsidP="00A6188F">
      <w:pPr>
        <w:keepNext/>
        <w:jc w:val="both"/>
        <w:outlineLvl w:val="2"/>
        <w:rPr>
          <w:rFonts w:ascii="Arial" w:hAnsi="Arial" w:cs="Arial"/>
          <w:b/>
          <w:bCs/>
          <w:sz w:val="20"/>
          <w:szCs w:val="20"/>
        </w:rPr>
      </w:pPr>
    </w:p>
    <w:p w:rsidR="00A6188F" w:rsidRPr="00A6188F" w:rsidRDefault="00A6188F" w:rsidP="00A6188F">
      <w:pPr>
        <w:keepNext/>
        <w:jc w:val="both"/>
        <w:outlineLvl w:val="2"/>
        <w:rPr>
          <w:rFonts w:ascii="Arial" w:hAnsi="Arial" w:cs="Arial"/>
          <w:b/>
          <w:bCs/>
          <w:sz w:val="20"/>
          <w:szCs w:val="20"/>
        </w:rPr>
      </w:pPr>
      <w:r w:rsidRPr="00A6188F">
        <w:rPr>
          <w:rFonts w:ascii="Arial" w:hAnsi="Arial" w:cs="Arial"/>
          <w:b/>
          <w:bCs/>
          <w:sz w:val="20"/>
          <w:szCs w:val="20"/>
        </w:rPr>
        <w:t xml:space="preserve">Conférences </w:t>
      </w:r>
      <w:proofErr w:type="spellStart"/>
      <w:r w:rsidRPr="00A6188F">
        <w:rPr>
          <w:rFonts w:ascii="Arial" w:hAnsi="Arial" w:cs="Arial"/>
          <w:b/>
          <w:bCs/>
          <w:sz w:val="20"/>
          <w:szCs w:val="20"/>
        </w:rPr>
        <w:t>eLearning</w:t>
      </w:r>
      <w:proofErr w:type="spellEnd"/>
      <w:r w:rsidRPr="00A6188F">
        <w:rPr>
          <w:rFonts w:ascii="Arial" w:hAnsi="Arial" w:cs="Arial"/>
          <w:b/>
          <w:bCs/>
          <w:sz w:val="20"/>
          <w:szCs w:val="20"/>
        </w:rPr>
        <w:t xml:space="preserve"> : </w:t>
      </w:r>
      <w:r w:rsidRPr="00A6188F">
        <w:rPr>
          <w:rFonts w:ascii="Arial" w:hAnsi="Arial" w:cs="Arial"/>
          <w:b/>
          <w:bCs/>
          <w:sz w:val="20"/>
          <w:szCs w:val="20"/>
        </w:rPr>
        <w:tab/>
        <w:t xml:space="preserve">Michel DIAZ, Président du Comité Editorial </w:t>
      </w:r>
      <w:proofErr w:type="spellStart"/>
      <w:r w:rsidRPr="00A6188F">
        <w:rPr>
          <w:rFonts w:ascii="Arial" w:hAnsi="Arial" w:cs="Arial"/>
          <w:b/>
          <w:bCs/>
          <w:sz w:val="20"/>
          <w:szCs w:val="20"/>
        </w:rPr>
        <w:t>eLearning</w:t>
      </w:r>
      <w:proofErr w:type="spellEnd"/>
    </w:p>
    <w:p w:rsidR="00A6188F" w:rsidRPr="00A6188F" w:rsidRDefault="00A6188F" w:rsidP="00A6188F">
      <w:pPr>
        <w:autoSpaceDE w:val="0"/>
        <w:autoSpaceDN w:val="0"/>
        <w:adjustRightInd w:val="0"/>
        <w:jc w:val="both"/>
        <w:rPr>
          <w:rStyle w:val="Lienhypertexte"/>
          <w:rFonts w:ascii="Arial" w:hAnsi="Arial" w:cs="Arial"/>
          <w:sz w:val="20"/>
          <w:szCs w:val="20"/>
        </w:rPr>
      </w:pPr>
      <w:r w:rsidRPr="00A6188F">
        <w:rPr>
          <w:rFonts w:ascii="Arial" w:hAnsi="Arial" w:cs="Arial"/>
          <w:b/>
          <w:bCs/>
          <w:sz w:val="20"/>
          <w:szCs w:val="20"/>
        </w:rPr>
        <w:tab/>
      </w:r>
      <w:r w:rsidRPr="00A6188F">
        <w:rPr>
          <w:rFonts w:ascii="Arial" w:hAnsi="Arial" w:cs="Arial"/>
          <w:b/>
          <w:bCs/>
          <w:sz w:val="20"/>
          <w:szCs w:val="20"/>
        </w:rPr>
        <w:tab/>
      </w:r>
      <w:r w:rsidRPr="00A6188F">
        <w:rPr>
          <w:rFonts w:ascii="Arial" w:hAnsi="Arial" w:cs="Arial"/>
          <w:b/>
          <w:bCs/>
          <w:sz w:val="20"/>
          <w:szCs w:val="20"/>
        </w:rPr>
        <w:tab/>
      </w:r>
      <w:r w:rsidRPr="00A6188F">
        <w:rPr>
          <w:rFonts w:ascii="Arial" w:hAnsi="Arial" w:cs="Arial"/>
          <w:b/>
          <w:bCs/>
          <w:sz w:val="20"/>
          <w:szCs w:val="20"/>
        </w:rPr>
        <w:tab/>
      </w:r>
      <w:hyperlink r:id="rId13" w:history="1">
        <w:r w:rsidRPr="00A6188F">
          <w:rPr>
            <w:rStyle w:val="Lienhypertexte"/>
            <w:rFonts w:ascii="Arial" w:hAnsi="Arial" w:cs="Arial"/>
            <w:sz w:val="20"/>
            <w:szCs w:val="20"/>
          </w:rPr>
          <w:t>michel.diaz@fefaur.com</w:t>
        </w:r>
      </w:hyperlink>
    </w:p>
    <w:p w:rsidR="00A6188F" w:rsidRPr="00A6188F" w:rsidRDefault="00A6188F" w:rsidP="00A6188F">
      <w:pPr>
        <w:autoSpaceDE w:val="0"/>
        <w:autoSpaceDN w:val="0"/>
        <w:adjustRightInd w:val="0"/>
        <w:jc w:val="both"/>
        <w:rPr>
          <w:rFonts w:ascii="Arial" w:hAnsi="Arial" w:cs="Arial"/>
          <w:b/>
          <w:sz w:val="20"/>
          <w:szCs w:val="20"/>
        </w:rPr>
      </w:pPr>
    </w:p>
    <w:p w:rsidR="00A6188F" w:rsidRPr="00A6188F" w:rsidRDefault="00A6188F" w:rsidP="00A6188F">
      <w:pPr>
        <w:autoSpaceDE w:val="0"/>
        <w:autoSpaceDN w:val="0"/>
        <w:adjustRightInd w:val="0"/>
        <w:jc w:val="both"/>
        <w:rPr>
          <w:rStyle w:val="Lienhypertexte"/>
          <w:rFonts w:ascii="Arial" w:hAnsi="Arial" w:cs="Arial"/>
          <w:b/>
          <w:sz w:val="20"/>
          <w:szCs w:val="20"/>
        </w:rPr>
      </w:pPr>
      <w:r w:rsidRPr="00A6188F">
        <w:rPr>
          <w:rFonts w:ascii="Arial" w:hAnsi="Arial" w:cs="Arial"/>
          <w:b/>
          <w:sz w:val="20"/>
          <w:szCs w:val="20"/>
        </w:rPr>
        <w:t>Conférences Salons Solutions : </w:t>
      </w:r>
      <w:r w:rsidRPr="00A6188F">
        <w:rPr>
          <w:rFonts w:ascii="Arial" w:hAnsi="Arial" w:cs="Arial"/>
          <w:b/>
          <w:sz w:val="20"/>
          <w:szCs w:val="20"/>
        </w:rPr>
        <w:tab/>
        <w:t>Philippe GRANGE</w:t>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t>- Tél. 01 44 39 85 20</w:t>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r>
      <w:hyperlink r:id="rId14" w:history="1">
        <w:r w:rsidRPr="00A6188F">
          <w:rPr>
            <w:rStyle w:val="Lienhypertexte"/>
            <w:rFonts w:ascii="Arial" w:hAnsi="Arial" w:cs="Arial"/>
            <w:sz w:val="20"/>
            <w:szCs w:val="20"/>
          </w:rPr>
          <w:t>ph.grange@media-dell-arte.fr</w:t>
        </w:r>
      </w:hyperlink>
    </w:p>
    <w:p w:rsidR="00A6188F" w:rsidRPr="00A6188F" w:rsidRDefault="00A6188F" w:rsidP="00A6188F">
      <w:pPr>
        <w:autoSpaceDE w:val="0"/>
        <w:autoSpaceDN w:val="0"/>
        <w:adjustRightInd w:val="0"/>
        <w:jc w:val="both"/>
        <w:rPr>
          <w:rFonts w:ascii="Arial" w:hAnsi="Arial" w:cs="Arial"/>
          <w:color w:val="0563C1" w:themeColor="hyperlink"/>
          <w:sz w:val="20"/>
          <w:szCs w:val="20"/>
          <w:u w:val="single"/>
        </w:rPr>
      </w:pPr>
    </w:p>
    <w:p w:rsidR="00A6188F" w:rsidRPr="00A6188F" w:rsidRDefault="00A6188F" w:rsidP="00A6188F">
      <w:pPr>
        <w:autoSpaceDE w:val="0"/>
        <w:autoSpaceDN w:val="0"/>
        <w:adjustRightInd w:val="0"/>
        <w:jc w:val="both"/>
        <w:rPr>
          <w:rFonts w:ascii="Arial" w:hAnsi="Arial" w:cs="Arial"/>
          <w:sz w:val="20"/>
          <w:szCs w:val="20"/>
        </w:rPr>
      </w:pPr>
      <w:r w:rsidRPr="00A6188F">
        <w:rPr>
          <w:rFonts w:ascii="Arial" w:hAnsi="Arial" w:cs="Arial"/>
          <w:b/>
          <w:sz w:val="20"/>
          <w:szCs w:val="20"/>
          <w:lang w:val="en-US"/>
        </w:rPr>
        <w:t xml:space="preserve">Site </w:t>
      </w:r>
      <w:proofErr w:type="gramStart"/>
      <w:r w:rsidRPr="00A6188F">
        <w:rPr>
          <w:rFonts w:ascii="Arial" w:hAnsi="Arial" w:cs="Arial"/>
          <w:b/>
          <w:sz w:val="20"/>
          <w:szCs w:val="20"/>
          <w:lang w:val="en-US"/>
        </w:rPr>
        <w:t>web :</w:t>
      </w:r>
      <w:proofErr w:type="gramEnd"/>
      <w:r w:rsidRPr="00A6188F">
        <w:rPr>
          <w:rFonts w:ascii="Arial" w:hAnsi="Arial" w:cs="Arial"/>
          <w:b/>
          <w:sz w:val="20"/>
          <w:szCs w:val="20"/>
          <w:lang w:val="en-US"/>
        </w:rPr>
        <w:t xml:space="preserve"> </w:t>
      </w:r>
      <w:r w:rsidRPr="00A6188F">
        <w:rPr>
          <w:rFonts w:ascii="Arial" w:hAnsi="Arial" w:cs="Arial"/>
          <w:b/>
          <w:sz w:val="20"/>
          <w:szCs w:val="20"/>
          <w:lang w:val="en-US"/>
        </w:rPr>
        <w:tab/>
      </w:r>
      <w:r w:rsidRPr="00A6188F">
        <w:rPr>
          <w:rFonts w:ascii="Arial" w:hAnsi="Arial" w:cs="Arial"/>
          <w:b/>
          <w:sz w:val="20"/>
          <w:szCs w:val="20"/>
          <w:lang w:val="en-US"/>
        </w:rPr>
        <w:tab/>
      </w:r>
      <w:r w:rsidRPr="00A6188F">
        <w:rPr>
          <w:rFonts w:ascii="Arial" w:hAnsi="Arial" w:cs="Arial"/>
          <w:b/>
          <w:sz w:val="20"/>
          <w:szCs w:val="20"/>
          <w:lang w:val="en-US"/>
        </w:rPr>
        <w:tab/>
      </w:r>
      <w:hyperlink r:id="rId15" w:history="1">
        <w:r w:rsidRPr="00A6188F">
          <w:rPr>
            <w:rStyle w:val="Lienhypertexte"/>
            <w:rFonts w:ascii="Arial" w:hAnsi="Arial" w:cs="Arial"/>
            <w:sz w:val="20"/>
            <w:szCs w:val="20"/>
            <w:lang w:val="en-US"/>
          </w:rPr>
          <w:t>http://www.salon-srh.com/</w:t>
        </w:r>
      </w:hyperlink>
      <w:r w:rsidRPr="00A6188F">
        <w:rPr>
          <w:rFonts w:ascii="Arial" w:hAnsi="Arial" w:cs="Arial"/>
          <w:sz w:val="20"/>
          <w:szCs w:val="20"/>
        </w:rPr>
        <w:t xml:space="preserve"> </w:t>
      </w:r>
      <w:r w:rsidRPr="00A6188F">
        <w:rPr>
          <w:rFonts w:ascii="Arial" w:hAnsi="Arial" w:cs="Arial"/>
          <w:sz w:val="20"/>
          <w:szCs w:val="20"/>
        </w:rPr>
        <w:tab/>
      </w:r>
    </w:p>
    <w:p w:rsidR="00A6188F" w:rsidRPr="00A6188F" w:rsidRDefault="00A6188F" w:rsidP="00A6188F">
      <w:pPr>
        <w:autoSpaceDE w:val="0"/>
        <w:autoSpaceDN w:val="0"/>
        <w:adjustRightInd w:val="0"/>
        <w:jc w:val="both"/>
        <w:rPr>
          <w:rFonts w:ascii="Arial" w:hAnsi="Arial" w:cs="Arial"/>
          <w:sz w:val="20"/>
          <w:szCs w:val="20"/>
        </w:rPr>
      </w:pPr>
      <w:r w:rsidRPr="00A6188F">
        <w:rPr>
          <w:rFonts w:ascii="Arial" w:hAnsi="Arial" w:cs="Arial"/>
          <w:sz w:val="20"/>
          <w:szCs w:val="20"/>
        </w:rPr>
        <w:tab/>
      </w:r>
    </w:p>
    <w:p w:rsidR="00A6188F" w:rsidRPr="00A6188F" w:rsidRDefault="00A6188F" w:rsidP="00A6188F">
      <w:pPr>
        <w:autoSpaceDE w:val="0"/>
        <w:autoSpaceDN w:val="0"/>
        <w:adjustRightInd w:val="0"/>
        <w:jc w:val="both"/>
        <w:rPr>
          <w:rFonts w:ascii="Arial" w:hAnsi="Arial" w:cs="Arial"/>
          <w:b/>
          <w:sz w:val="20"/>
          <w:szCs w:val="20"/>
        </w:rPr>
      </w:pPr>
      <w:r w:rsidRPr="00A6188F">
        <w:rPr>
          <w:rFonts w:ascii="Arial" w:hAnsi="Arial" w:cs="Arial"/>
          <w:b/>
          <w:sz w:val="20"/>
          <w:szCs w:val="20"/>
        </w:rPr>
        <w:t>Twitter :</w:t>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r>
      <w:r w:rsidRPr="00A6188F">
        <w:rPr>
          <w:rFonts w:ascii="Arial" w:hAnsi="Arial" w:cs="Arial"/>
          <w:b/>
          <w:sz w:val="20"/>
          <w:szCs w:val="20"/>
        </w:rPr>
        <w:tab/>
        <w:t xml:space="preserve"> @Salon RH Lyon</w:t>
      </w:r>
    </w:p>
    <w:p w:rsidR="00A6188F" w:rsidRPr="00A6188F" w:rsidRDefault="00A6188F" w:rsidP="00395B34">
      <w:pPr>
        <w:jc w:val="both"/>
        <w:rPr>
          <w:rFonts w:ascii="Arial" w:hAnsi="Arial" w:cs="Arial"/>
          <w:b/>
          <w:sz w:val="20"/>
          <w:szCs w:val="20"/>
        </w:rPr>
      </w:pPr>
    </w:p>
    <w:sectPr w:rsidR="00A6188F" w:rsidRPr="00A6188F" w:rsidSect="00A6188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B4984"/>
    <w:multiLevelType w:val="multilevel"/>
    <w:tmpl w:val="3400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F2394"/>
    <w:multiLevelType w:val="hybridMultilevel"/>
    <w:tmpl w:val="1C0C7ECA"/>
    <w:lvl w:ilvl="0" w:tplc="0128A29E">
      <w:start w:val="2"/>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C4"/>
    <w:rsid w:val="00285BA9"/>
    <w:rsid w:val="00395B34"/>
    <w:rsid w:val="003A4698"/>
    <w:rsid w:val="0048455D"/>
    <w:rsid w:val="008B04C4"/>
    <w:rsid w:val="00A6188F"/>
    <w:rsid w:val="00A707AA"/>
    <w:rsid w:val="00DA0DEF"/>
    <w:rsid w:val="00DE0594"/>
    <w:rsid w:val="00EB1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FA9A"/>
  <w15:chartTrackingRefBased/>
  <w15:docId w15:val="{088782E9-8687-4DB0-91D4-B41323B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C4"/>
    <w:pPr>
      <w:spacing w:after="0" w:line="240" w:lineRule="auto"/>
    </w:pPr>
    <w:rPr>
      <w:rFonts w:ascii="Calibri" w:hAnsi="Calibri" w:cs="Calibri"/>
      <w:lang w:eastAsia="fr-FR"/>
    </w:rPr>
  </w:style>
  <w:style w:type="paragraph" w:styleId="Titre2">
    <w:name w:val="heading 2"/>
    <w:basedOn w:val="Normal"/>
    <w:link w:val="Titre2Car"/>
    <w:uiPriority w:val="9"/>
    <w:qFormat/>
    <w:rsid w:val="008B04C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B04C4"/>
    <w:rPr>
      <w:b/>
      <w:bCs/>
    </w:rPr>
  </w:style>
  <w:style w:type="character" w:styleId="Lienhypertexte">
    <w:name w:val="Hyperlink"/>
    <w:basedOn w:val="Policepardfaut"/>
    <w:uiPriority w:val="99"/>
    <w:unhideWhenUsed/>
    <w:rsid w:val="008B04C4"/>
    <w:rPr>
      <w:color w:val="0563C1" w:themeColor="hyperlink"/>
      <w:u w:val="single"/>
    </w:rPr>
  </w:style>
  <w:style w:type="character" w:styleId="Mentionnonrsolue">
    <w:name w:val="Unresolved Mention"/>
    <w:basedOn w:val="Policepardfaut"/>
    <w:uiPriority w:val="99"/>
    <w:semiHidden/>
    <w:unhideWhenUsed/>
    <w:rsid w:val="008B04C4"/>
    <w:rPr>
      <w:color w:val="605E5C"/>
      <w:shd w:val="clear" w:color="auto" w:fill="E1DFDD"/>
    </w:rPr>
  </w:style>
  <w:style w:type="character" w:customStyle="1" w:styleId="Titre2Car">
    <w:name w:val="Titre 2 Car"/>
    <w:basedOn w:val="Policepardfaut"/>
    <w:link w:val="Titre2"/>
    <w:uiPriority w:val="9"/>
    <w:rsid w:val="008B04C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DE05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594"/>
    <w:rPr>
      <w:rFonts w:ascii="Segoe UI" w:hAnsi="Segoe UI" w:cs="Segoe UI"/>
      <w:sz w:val="18"/>
      <w:szCs w:val="18"/>
      <w:lang w:eastAsia="fr-FR"/>
    </w:rPr>
  </w:style>
  <w:style w:type="paragraph" w:styleId="NormalWeb">
    <w:name w:val="Normal (Web)"/>
    <w:basedOn w:val="Normal"/>
    <w:uiPriority w:val="99"/>
    <w:unhideWhenUsed/>
    <w:rsid w:val="00DE0594"/>
    <w:pPr>
      <w:spacing w:after="150"/>
    </w:pPr>
    <w:rPr>
      <w:rFonts w:ascii="Times New Roman" w:eastAsia="Times New Roman" w:hAnsi="Times New Roman" w:cs="Times New Roman"/>
      <w:sz w:val="24"/>
      <w:szCs w:val="24"/>
    </w:rPr>
  </w:style>
  <w:style w:type="paragraph" w:customStyle="1" w:styleId="pr-speak-analyst">
    <w:name w:val="pr-speak-analyst"/>
    <w:basedOn w:val="Normal"/>
    <w:rsid w:val="00EB1B2D"/>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Policepardfaut"/>
    <w:rsid w:val="00EB1B2D"/>
  </w:style>
  <w:style w:type="paragraph" w:customStyle="1" w:styleId="pr-request-sample">
    <w:name w:val="pr-request-sample"/>
    <w:basedOn w:val="Normal"/>
    <w:rsid w:val="00EB1B2D"/>
    <w:pPr>
      <w:spacing w:before="100" w:beforeAutospacing="1" w:after="100" w:afterAutospacing="1"/>
    </w:pPr>
    <w:rPr>
      <w:rFonts w:ascii="Times New Roman" w:eastAsia="Times New Roman" w:hAnsi="Times New Roman" w:cs="Times New Roman"/>
      <w:sz w:val="24"/>
      <w:szCs w:val="24"/>
    </w:rPr>
  </w:style>
  <w:style w:type="paragraph" w:customStyle="1" w:styleId="media-heading">
    <w:name w:val="media-heading"/>
    <w:basedOn w:val="Normal"/>
    <w:rsid w:val="00EB1B2D"/>
    <w:pPr>
      <w:spacing w:before="100" w:beforeAutospacing="1" w:after="100" w:afterAutospacing="1"/>
    </w:pPr>
    <w:rPr>
      <w:rFonts w:ascii="Times New Roman" w:eastAsia="Times New Roman" w:hAnsi="Times New Roman" w:cs="Times New Roman"/>
      <w:sz w:val="24"/>
      <w:szCs w:val="24"/>
    </w:rPr>
  </w:style>
  <w:style w:type="paragraph" w:customStyle="1" w:styleId="pr-detail-writer">
    <w:name w:val="pr-detail-writer"/>
    <w:basedOn w:val="Normal"/>
    <w:rsid w:val="00EB1B2D"/>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A6188F"/>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445">
      <w:bodyDiv w:val="1"/>
      <w:marLeft w:val="0"/>
      <w:marRight w:val="0"/>
      <w:marTop w:val="0"/>
      <w:marBottom w:val="0"/>
      <w:divBdr>
        <w:top w:val="none" w:sz="0" w:space="0" w:color="auto"/>
        <w:left w:val="none" w:sz="0" w:space="0" w:color="auto"/>
        <w:bottom w:val="none" w:sz="0" w:space="0" w:color="auto"/>
        <w:right w:val="none" w:sz="0" w:space="0" w:color="auto"/>
      </w:divBdr>
    </w:div>
    <w:div w:id="364137890">
      <w:bodyDiv w:val="1"/>
      <w:marLeft w:val="0"/>
      <w:marRight w:val="0"/>
      <w:marTop w:val="0"/>
      <w:marBottom w:val="0"/>
      <w:divBdr>
        <w:top w:val="none" w:sz="0" w:space="0" w:color="auto"/>
        <w:left w:val="none" w:sz="0" w:space="0" w:color="auto"/>
        <w:bottom w:val="none" w:sz="0" w:space="0" w:color="auto"/>
        <w:right w:val="none" w:sz="0" w:space="0" w:color="auto"/>
      </w:divBdr>
      <w:divsChild>
        <w:div w:id="1692414276">
          <w:marLeft w:val="0"/>
          <w:marRight w:val="0"/>
          <w:marTop w:val="0"/>
          <w:marBottom w:val="0"/>
          <w:divBdr>
            <w:top w:val="none" w:sz="0" w:space="0" w:color="auto"/>
            <w:left w:val="none" w:sz="0" w:space="0" w:color="auto"/>
            <w:bottom w:val="none" w:sz="0" w:space="0" w:color="auto"/>
            <w:right w:val="none" w:sz="0" w:space="0" w:color="auto"/>
          </w:divBdr>
        </w:div>
      </w:divsChild>
    </w:div>
    <w:div w:id="1144397660">
      <w:bodyDiv w:val="1"/>
      <w:marLeft w:val="0"/>
      <w:marRight w:val="0"/>
      <w:marTop w:val="0"/>
      <w:marBottom w:val="0"/>
      <w:divBdr>
        <w:top w:val="none" w:sz="0" w:space="0" w:color="auto"/>
        <w:left w:val="none" w:sz="0" w:space="0" w:color="auto"/>
        <w:bottom w:val="none" w:sz="0" w:space="0" w:color="auto"/>
        <w:right w:val="none" w:sz="0" w:space="0" w:color="auto"/>
      </w:divBdr>
      <w:divsChild>
        <w:div w:id="825633617">
          <w:marLeft w:val="0"/>
          <w:marRight w:val="0"/>
          <w:marTop w:val="0"/>
          <w:marBottom w:val="0"/>
          <w:divBdr>
            <w:top w:val="none" w:sz="0" w:space="0" w:color="auto"/>
            <w:left w:val="none" w:sz="0" w:space="0" w:color="auto"/>
            <w:bottom w:val="none" w:sz="0" w:space="0" w:color="auto"/>
            <w:right w:val="none" w:sz="0" w:space="0" w:color="auto"/>
          </w:divBdr>
          <w:divsChild>
            <w:div w:id="1537305949">
              <w:marLeft w:val="0"/>
              <w:marRight w:val="0"/>
              <w:marTop w:val="0"/>
              <w:marBottom w:val="0"/>
              <w:divBdr>
                <w:top w:val="none" w:sz="0" w:space="0" w:color="auto"/>
                <w:left w:val="none" w:sz="0" w:space="0" w:color="auto"/>
                <w:bottom w:val="none" w:sz="0" w:space="0" w:color="auto"/>
                <w:right w:val="none" w:sz="0" w:space="0" w:color="auto"/>
              </w:divBdr>
              <w:divsChild>
                <w:div w:id="1693341251">
                  <w:marLeft w:val="-225"/>
                  <w:marRight w:val="-225"/>
                  <w:marTop w:val="0"/>
                  <w:marBottom w:val="0"/>
                  <w:divBdr>
                    <w:top w:val="none" w:sz="0" w:space="0" w:color="auto"/>
                    <w:left w:val="none" w:sz="0" w:space="0" w:color="auto"/>
                    <w:bottom w:val="none" w:sz="0" w:space="0" w:color="auto"/>
                    <w:right w:val="none" w:sz="0" w:space="0" w:color="auto"/>
                  </w:divBdr>
                  <w:divsChild>
                    <w:div w:id="914047950">
                      <w:marLeft w:val="0"/>
                      <w:marRight w:val="0"/>
                      <w:marTop w:val="0"/>
                      <w:marBottom w:val="0"/>
                      <w:divBdr>
                        <w:top w:val="none" w:sz="0" w:space="0" w:color="auto"/>
                        <w:left w:val="none" w:sz="0" w:space="0" w:color="auto"/>
                        <w:bottom w:val="none" w:sz="0" w:space="0" w:color="auto"/>
                        <w:right w:val="none" w:sz="0" w:space="0" w:color="auto"/>
                      </w:divBdr>
                      <w:divsChild>
                        <w:div w:id="1432625035">
                          <w:marLeft w:val="0"/>
                          <w:marRight w:val="0"/>
                          <w:marTop w:val="0"/>
                          <w:marBottom w:val="0"/>
                          <w:divBdr>
                            <w:top w:val="none" w:sz="0" w:space="0" w:color="auto"/>
                            <w:left w:val="none" w:sz="0" w:space="0" w:color="auto"/>
                            <w:bottom w:val="none" w:sz="0" w:space="0" w:color="auto"/>
                            <w:right w:val="none" w:sz="0" w:space="0" w:color="auto"/>
                          </w:divBdr>
                          <w:divsChild>
                            <w:div w:id="1949193201">
                              <w:marLeft w:val="0"/>
                              <w:marRight w:val="0"/>
                              <w:marTop w:val="0"/>
                              <w:marBottom w:val="0"/>
                              <w:divBdr>
                                <w:top w:val="none" w:sz="0" w:space="0" w:color="auto"/>
                                <w:left w:val="none" w:sz="0" w:space="0" w:color="auto"/>
                                <w:bottom w:val="none" w:sz="0" w:space="0" w:color="auto"/>
                                <w:right w:val="none" w:sz="0" w:space="0" w:color="auto"/>
                              </w:divBdr>
                              <w:divsChild>
                                <w:div w:id="553007391">
                                  <w:marLeft w:val="0"/>
                                  <w:marRight w:val="0"/>
                                  <w:marTop w:val="0"/>
                                  <w:marBottom w:val="0"/>
                                  <w:divBdr>
                                    <w:top w:val="none" w:sz="0" w:space="0" w:color="auto"/>
                                    <w:left w:val="none" w:sz="0" w:space="0" w:color="auto"/>
                                    <w:bottom w:val="none" w:sz="0" w:space="0" w:color="auto"/>
                                    <w:right w:val="none" w:sz="0" w:space="0" w:color="auto"/>
                                  </w:divBdr>
                                  <w:divsChild>
                                    <w:div w:id="1964459878">
                                      <w:marLeft w:val="0"/>
                                      <w:marRight w:val="0"/>
                                      <w:marTop w:val="0"/>
                                      <w:marBottom w:val="0"/>
                                      <w:divBdr>
                                        <w:top w:val="none" w:sz="0" w:space="0" w:color="auto"/>
                                        <w:left w:val="none" w:sz="0" w:space="0" w:color="auto"/>
                                        <w:bottom w:val="none" w:sz="0" w:space="0" w:color="auto"/>
                                        <w:right w:val="none" w:sz="0" w:space="0" w:color="auto"/>
                                      </w:divBdr>
                                      <w:divsChild>
                                        <w:div w:id="315036903">
                                          <w:marLeft w:val="0"/>
                                          <w:marRight w:val="0"/>
                                          <w:marTop w:val="0"/>
                                          <w:marBottom w:val="0"/>
                                          <w:divBdr>
                                            <w:top w:val="none" w:sz="0" w:space="0" w:color="auto"/>
                                            <w:left w:val="none" w:sz="0" w:space="0" w:color="auto"/>
                                            <w:bottom w:val="none" w:sz="0" w:space="0" w:color="auto"/>
                                            <w:right w:val="none" w:sz="0" w:space="0" w:color="auto"/>
                                          </w:divBdr>
                                          <w:divsChild>
                                            <w:div w:id="1797405650">
                                              <w:marLeft w:val="-225"/>
                                              <w:marRight w:val="-225"/>
                                              <w:marTop w:val="0"/>
                                              <w:marBottom w:val="0"/>
                                              <w:divBdr>
                                                <w:top w:val="none" w:sz="0" w:space="0" w:color="auto"/>
                                                <w:left w:val="none" w:sz="0" w:space="0" w:color="auto"/>
                                                <w:bottom w:val="none" w:sz="0" w:space="0" w:color="auto"/>
                                                <w:right w:val="none" w:sz="0" w:space="0" w:color="auto"/>
                                              </w:divBdr>
                                              <w:divsChild>
                                                <w:div w:id="1414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094557">
      <w:bodyDiv w:val="1"/>
      <w:marLeft w:val="0"/>
      <w:marRight w:val="0"/>
      <w:marTop w:val="0"/>
      <w:marBottom w:val="0"/>
      <w:divBdr>
        <w:top w:val="none" w:sz="0" w:space="0" w:color="auto"/>
        <w:left w:val="none" w:sz="0" w:space="0" w:color="auto"/>
        <w:bottom w:val="none" w:sz="0" w:space="0" w:color="auto"/>
        <w:right w:val="none" w:sz="0" w:space="0" w:color="auto"/>
      </w:divBdr>
    </w:div>
    <w:div w:id="1210919803">
      <w:bodyDiv w:val="1"/>
      <w:marLeft w:val="0"/>
      <w:marRight w:val="0"/>
      <w:marTop w:val="0"/>
      <w:marBottom w:val="0"/>
      <w:divBdr>
        <w:top w:val="none" w:sz="0" w:space="0" w:color="auto"/>
        <w:left w:val="none" w:sz="0" w:space="0" w:color="auto"/>
        <w:bottom w:val="none" w:sz="0" w:space="0" w:color="auto"/>
        <w:right w:val="none" w:sz="0" w:space="0" w:color="auto"/>
      </w:divBdr>
      <w:divsChild>
        <w:div w:id="909005625">
          <w:marLeft w:val="0"/>
          <w:marRight w:val="0"/>
          <w:marTop w:val="0"/>
          <w:marBottom w:val="0"/>
          <w:divBdr>
            <w:top w:val="none" w:sz="0" w:space="0" w:color="auto"/>
            <w:left w:val="none" w:sz="0" w:space="0" w:color="auto"/>
            <w:bottom w:val="none" w:sz="0" w:space="0" w:color="auto"/>
            <w:right w:val="none" w:sz="0" w:space="0" w:color="auto"/>
          </w:divBdr>
          <w:divsChild>
            <w:div w:id="215820025">
              <w:marLeft w:val="0"/>
              <w:marRight w:val="0"/>
              <w:marTop w:val="0"/>
              <w:marBottom w:val="0"/>
              <w:divBdr>
                <w:top w:val="none" w:sz="0" w:space="0" w:color="auto"/>
                <w:left w:val="none" w:sz="0" w:space="0" w:color="auto"/>
                <w:bottom w:val="none" w:sz="0" w:space="0" w:color="auto"/>
                <w:right w:val="none" w:sz="0" w:space="0" w:color="auto"/>
              </w:divBdr>
              <w:divsChild>
                <w:div w:id="833111606">
                  <w:marLeft w:val="0"/>
                  <w:marRight w:val="0"/>
                  <w:marTop w:val="0"/>
                  <w:marBottom w:val="0"/>
                  <w:divBdr>
                    <w:top w:val="none" w:sz="0" w:space="0" w:color="auto"/>
                    <w:left w:val="none" w:sz="0" w:space="0" w:color="auto"/>
                    <w:bottom w:val="none" w:sz="0" w:space="0" w:color="auto"/>
                    <w:right w:val="none" w:sz="0" w:space="0" w:color="auto"/>
                  </w:divBdr>
                  <w:divsChild>
                    <w:div w:id="1321234941">
                      <w:marLeft w:val="0"/>
                      <w:marRight w:val="0"/>
                      <w:marTop w:val="0"/>
                      <w:marBottom w:val="0"/>
                      <w:divBdr>
                        <w:top w:val="single" w:sz="6" w:space="0" w:color="8CB1DD"/>
                        <w:left w:val="single" w:sz="6" w:space="0" w:color="8CB1DD"/>
                        <w:bottom w:val="single" w:sz="6" w:space="0" w:color="8CB1DD"/>
                        <w:right w:val="single" w:sz="6" w:space="0" w:color="8CB1DD"/>
                      </w:divBdr>
                    </w:div>
                  </w:divsChild>
                </w:div>
                <w:div w:id="6618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433">
      <w:bodyDiv w:val="1"/>
      <w:marLeft w:val="0"/>
      <w:marRight w:val="0"/>
      <w:marTop w:val="0"/>
      <w:marBottom w:val="0"/>
      <w:divBdr>
        <w:top w:val="none" w:sz="0" w:space="0" w:color="auto"/>
        <w:left w:val="none" w:sz="0" w:space="0" w:color="auto"/>
        <w:bottom w:val="none" w:sz="0" w:space="0" w:color="auto"/>
        <w:right w:val="none" w:sz="0" w:space="0" w:color="auto"/>
      </w:divBdr>
    </w:div>
    <w:div w:id="1686788522">
      <w:bodyDiv w:val="1"/>
      <w:marLeft w:val="0"/>
      <w:marRight w:val="0"/>
      <w:marTop w:val="0"/>
      <w:marBottom w:val="0"/>
      <w:divBdr>
        <w:top w:val="none" w:sz="0" w:space="0" w:color="auto"/>
        <w:left w:val="none" w:sz="0" w:space="0" w:color="auto"/>
        <w:bottom w:val="none" w:sz="0" w:space="0" w:color="auto"/>
        <w:right w:val="none" w:sz="0" w:space="0" w:color="auto"/>
      </w:divBdr>
    </w:div>
    <w:div w:id="17141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andmarkets.com/reports/4199923/opportunity-in-elearning-in-the-global-market" TargetMode="External"/><Relationship Id="rId13" Type="http://schemas.openxmlformats.org/officeDocument/2006/relationships/hyperlink" Target="mailto:michel.diaz@fefaur.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ouyalnorber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courtenay@infoexpo.fr" TargetMode="External"/><Relationship Id="rId5" Type="http://schemas.openxmlformats.org/officeDocument/2006/relationships/image" Target="media/image1.png"/><Relationship Id="rId15" Type="http://schemas.openxmlformats.org/officeDocument/2006/relationships/hyperlink" Target="http://www.salon-srh.com/" TargetMode="External"/><Relationship Id="rId10" Type="http://schemas.openxmlformats.org/officeDocument/2006/relationships/hyperlink" Target="mailto:r.cerval@infoexpo.fr" TargetMode="External"/><Relationship Id="rId4" Type="http://schemas.openxmlformats.org/officeDocument/2006/relationships/webSettings" Target="webSettings.xml"/><Relationship Id="rId9" Type="http://schemas.openxmlformats.org/officeDocument/2006/relationships/hyperlink" Target="http://www.huffingtonpost.fr/jeancharles-foucrier/mobile-learning-education-telephone_b_7127078.html" TargetMode="External"/><Relationship Id="rId14" Type="http://schemas.openxmlformats.org/officeDocument/2006/relationships/hyperlink" Target="mailto:ph.grange@media-dell-ar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6</cp:revision>
  <dcterms:created xsi:type="dcterms:W3CDTF">2019-04-05T15:34:00Z</dcterms:created>
  <dcterms:modified xsi:type="dcterms:W3CDTF">2019-04-10T16:16:00Z</dcterms:modified>
</cp:coreProperties>
</file>